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14:anchorId="0D697694" wp14:editId="21F6BA4D">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EA206E" w:rsidRDefault="005E50BC" w:rsidP="00EA206E">
      <w:pPr>
        <w:pStyle w:val="Title"/>
      </w:pPr>
      <w:r>
        <w:t xml:space="preserve">Information Literacy </w:t>
      </w:r>
    </w:p>
    <w:p w:rsidR="00654C6B" w:rsidRPr="00654C6B" w:rsidRDefault="00EA206E" w:rsidP="00654C6B">
      <w:pPr>
        <w:pStyle w:val="Title"/>
      </w:pPr>
      <w:r>
        <w:rPr>
          <w:sz w:val="44"/>
          <w:szCs w:val="44"/>
        </w:rPr>
        <w:t>Under</w:t>
      </w:r>
      <w:r w:rsidR="00562FD4">
        <w:rPr>
          <w:sz w:val="44"/>
          <w:szCs w:val="44"/>
        </w:rPr>
        <w:t>standing Policies</w:t>
      </w:r>
    </w:p>
    <w:p w:rsidR="004F32A2" w:rsidRDefault="004F32A2"/>
    <w:p w:rsidR="00AC26D3" w:rsidRDefault="00661427">
      <w:r>
        <w:rPr>
          <w:color w:val="5A5A5A"/>
        </w:rPr>
        <w:t>Objective</w:t>
      </w:r>
      <w:r w:rsidR="003035D0">
        <w:t xml:space="preserve">: Students will </w:t>
      </w:r>
      <w:r w:rsidR="00946544">
        <w:t>explain sample workplace policies.</w:t>
      </w:r>
    </w:p>
    <w:p w:rsidR="00D90FF5" w:rsidRDefault="00AC26D3">
      <w:r>
        <w:t xml:space="preserve"> </w:t>
      </w:r>
    </w:p>
    <w:p w:rsidR="00D90FF5" w:rsidRDefault="00661427" w:rsidP="00D90FF5">
      <w:r>
        <w:rPr>
          <w:color w:val="5A5A5A"/>
        </w:rPr>
        <w:t>Workplace Readiness Skill:</w:t>
      </w:r>
      <w:r>
        <w:t xml:space="preserve"> </w:t>
      </w:r>
      <w:r w:rsidR="005E50BC" w:rsidRPr="005E50BC">
        <w:rPr>
          <w:b/>
        </w:rPr>
        <w:t>Demonstrate information-literacy skills.</w:t>
      </w:r>
    </w:p>
    <w:p w:rsidR="00D90FF5" w:rsidRDefault="00D90FF5" w:rsidP="00D90FF5"/>
    <w:p w:rsidR="005E50BC" w:rsidRPr="005E50BC" w:rsidRDefault="005E50BC" w:rsidP="005E50BC">
      <w:pPr>
        <w:pStyle w:val="Subtitle"/>
        <w:spacing w:after="0"/>
        <w:rPr>
          <w:i/>
          <w:color w:val="000000"/>
        </w:rPr>
      </w:pPr>
      <w:r w:rsidRPr="005E50BC">
        <w:rPr>
          <w:i/>
          <w:color w:val="000000"/>
        </w:rPr>
        <w:t xml:space="preserve">Demonstration includes </w:t>
      </w:r>
    </w:p>
    <w:p w:rsidR="005E50BC" w:rsidRPr="005E50BC" w:rsidRDefault="005E50BC" w:rsidP="005E50BC">
      <w:pPr>
        <w:pStyle w:val="Subtitle"/>
        <w:numPr>
          <w:ilvl w:val="0"/>
          <w:numId w:val="28"/>
        </w:numPr>
        <w:spacing w:after="0"/>
        <w:rPr>
          <w:i/>
          <w:color w:val="000000"/>
        </w:rPr>
      </w:pPr>
      <w:r w:rsidRPr="005E50BC">
        <w:rPr>
          <w:i/>
          <w:color w:val="000000"/>
        </w:rPr>
        <w:t xml:space="preserve">defining </w:t>
      </w:r>
      <w:r w:rsidRPr="005E50BC">
        <w:rPr>
          <w:b/>
          <w:i/>
          <w:color w:val="000000"/>
        </w:rPr>
        <w:t>information literacy</w:t>
      </w:r>
      <w:r w:rsidRPr="005E50BC">
        <w:rPr>
          <w:i/>
          <w:color w:val="000000"/>
        </w:rPr>
        <w:t xml:space="preserve"> </w:t>
      </w:r>
    </w:p>
    <w:p w:rsidR="005E50BC" w:rsidRPr="005E50BC" w:rsidRDefault="005E50BC" w:rsidP="005E50BC">
      <w:pPr>
        <w:pStyle w:val="Subtitle"/>
        <w:numPr>
          <w:ilvl w:val="0"/>
          <w:numId w:val="28"/>
        </w:numPr>
        <w:spacing w:after="0"/>
        <w:rPr>
          <w:i/>
          <w:color w:val="000000"/>
        </w:rPr>
      </w:pPr>
      <w:r w:rsidRPr="005E50BC">
        <w:rPr>
          <w:i/>
          <w:color w:val="000000"/>
        </w:rPr>
        <w:t xml:space="preserve">locating and evaluating credible and relevant sources of information </w:t>
      </w:r>
    </w:p>
    <w:p w:rsidR="005E50BC" w:rsidRDefault="005E50BC" w:rsidP="005E50BC">
      <w:pPr>
        <w:pStyle w:val="Subtitle"/>
        <w:numPr>
          <w:ilvl w:val="0"/>
          <w:numId w:val="28"/>
        </w:numPr>
        <w:spacing w:after="0"/>
        <w:rPr>
          <w:i/>
          <w:color w:val="000000"/>
        </w:rPr>
      </w:pPr>
      <w:r w:rsidRPr="005E50BC">
        <w:rPr>
          <w:i/>
          <w:color w:val="000000"/>
        </w:rPr>
        <w:t xml:space="preserve">using information effectively to accomplish work-related tasks. </w:t>
      </w:r>
    </w:p>
    <w:p w:rsidR="005E50BC" w:rsidRPr="005E50BC" w:rsidRDefault="005E50BC" w:rsidP="005E50BC"/>
    <w:p w:rsidR="004F32A2" w:rsidRDefault="00661427">
      <w:pPr>
        <w:pStyle w:val="Subtitle"/>
      </w:pPr>
      <w:r>
        <w:t>Correlations to Other Workplace Readiness Skills:</w:t>
      </w:r>
    </w:p>
    <w:p w:rsidR="005E50BC" w:rsidRDefault="005E50BC" w:rsidP="005E50BC">
      <w:pPr>
        <w:pStyle w:val="ListParagraph"/>
        <w:numPr>
          <w:ilvl w:val="0"/>
          <w:numId w:val="11"/>
        </w:numPr>
      </w:pPr>
      <w:r>
        <w:t>Demonstrate integrity.</w:t>
      </w:r>
    </w:p>
    <w:p w:rsidR="00D90FF5" w:rsidRDefault="00D90FF5" w:rsidP="002E3BF6">
      <w:pPr>
        <w:pStyle w:val="ListParagraph"/>
        <w:numPr>
          <w:ilvl w:val="0"/>
          <w:numId w:val="11"/>
        </w:numPr>
      </w:pPr>
      <w:r>
        <w:t>Demonstrate work ethic.</w:t>
      </w:r>
    </w:p>
    <w:p w:rsidR="00EE28D6" w:rsidRDefault="00EE28D6" w:rsidP="002E3BF6">
      <w:pPr>
        <w:pStyle w:val="ListParagraph"/>
        <w:numPr>
          <w:ilvl w:val="0"/>
          <w:numId w:val="11"/>
        </w:numPr>
      </w:pPr>
      <w:r>
        <w:t>Demonstrate conflict</w:t>
      </w:r>
      <w:r w:rsidR="005E50BC">
        <w:t xml:space="preserve"> </w:t>
      </w:r>
      <w:r>
        <w:t>resolution skills.</w:t>
      </w:r>
    </w:p>
    <w:p w:rsidR="005E50BC" w:rsidRDefault="00794BFA" w:rsidP="005E50BC">
      <w:pPr>
        <w:pStyle w:val="ListParagraph"/>
        <w:numPr>
          <w:ilvl w:val="0"/>
          <w:numId w:val="11"/>
        </w:numPr>
      </w:pPr>
      <w:r w:rsidRPr="00794BFA">
        <w:t xml:space="preserve">Demonstrate </w:t>
      </w:r>
      <w:r w:rsidR="005E50BC">
        <w:t>career- and life-management skills</w:t>
      </w:r>
      <w:r w:rsidRPr="00794BFA">
        <w:t>.</w:t>
      </w:r>
    </w:p>
    <w:p w:rsidR="004F32A2" w:rsidRDefault="005E50BC" w:rsidP="005E50BC">
      <w:pPr>
        <w:pStyle w:val="ListParagraph"/>
        <w:numPr>
          <w:ilvl w:val="0"/>
          <w:numId w:val="11"/>
        </w:numPr>
      </w:pPr>
      <w:r w:rsidRPr="005E50BC">
        <w:t>Demonstrate an understanding of information security.</w:t>
      </w:r>
    </w:p>
    <w:p w:rsidR="005E50BC" w:rsidRDefault="005E50BC"/>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385566">
        <w:t xml:space="preserve">6.2, 6.6, 7.1, 7.2, 7.6, 8.2, 8.6, 9.1, </w:t>
      </w:r>
      <w:r w:rsidR="00C030DC">
        <w:t xml:space="preserve">9.5, 10.1, 10.5, 11.1, 11.5, </w:t>
      </w:r>
      <w:r w:rsidR="00DD4149">
        <w:t xml:space="preserve">12.1, </w:t>
      </w:r>
      <w:r w:rsidR="00C030DC">
        <w:t>12.5</w:t>
      </w:r>
    </w:p>
    <w:p w:rsidR="00464F90" w:rsidRDefault="00464F90" w:rsidP="00703E44">
      <w:pPr>
        <w:ind w:left="720"/>
      </w:pPr>
      <w:r>
        <w:t xml:space="preserve">History and Social Science: </w:t>
      </w:r>
      <w:r w:rsidR="00ED0CC7">
        <w:t xml:space="preserve">CE.1, CE.4, </w:t>
      </w:r>
      <w:r w:rsidR="00A41BCB">
        <w:t xml:space="preserve">GOVT.1, </w:t>
      </w:r>
      <w:r w:rsidR="00ED0CC7">
        <w:t>GOVT.16</w:t>
      </w:r>
    </w:p>
    <w:p w:rsidR="004F32A2" w:rsidRDefault="004F32A2"/>
    <w:p w:rsidR="004F32A2" w:rsidRDefault="00661427">
      <w:pPr>
        <w:pStyle w:val="Subtitle"/>
      </w:pPr>
      <w:r>
        <w:t>Instructional Steps:</w:t>
      </w:r>
    </w:p>
    <w:p w:rsidR="0067035E" w:rsidRDefault="000F79CF" w:rsidP="000C1A7C">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with </w:t>
      </w:r>
      <w:r w:rsidR="0067035E">
        <w:rPr>
          <w:b/>
          <w:i/>
        </w:rPr>
        <w:t xml:space="preserve">two terms: </w:t>
      </w:r>
      <w:r w:rsidR="000C1A7C">
        <w:rPr>
          <w:b/>
        </w:rPr>
        <w:t>policy</w:t>
      </w:r>
      <w:r w:rsidR="0067035E">
        <w:rPr>
          <w:b/>
          <w:i/>
        </w:rPr>
        <w:t xml:space="preserve"> and </w:t>
      </w:r>
      <w:r w:rsidR="000C1A7C">
        <w:rPr>
          <w:b/>
        </w:rPr>
        <w:t>procedure</w:t>
      </w:r>
      <w:r w:rsidR="0067035E">
        <w:rPr>
          <w:b/>
          <w:i/>
        </w:rPr>
        <w:t>.</w:t>
      </w:r>
      <w:r w:rsidR="0091407D">
        <w:rPr>
          <w:b/>
          <w:i/>
        </w:rPr>
        <w:t xml:space="preserve"> </w:t>
      </w:r>
      <w:r w:rsidR="0067035E">
        <w:t xml:space="preserve">Ask students to define and give examples of both of these terms. Explain that in the workforce and throughout life, we </w:t>
      </w:r>
      <w:r w:rsidR="000C1A7C">
        <w:t>must adhere to various policies and procedures</w:t>
      </w:r>
      <w:r w:rsidR="0067035E">
        <w:t>.</w:t>
      </w:r>
      <w:r w:rsidR="000C1A7C">
        <w:t xml:space="preserve"> Using your school</w:t>
      </w:r>
      <w:r w:rsidR="00DD4149">
        <w:t>’</w:t>
      </w:r>
      <w:r w:rsidR="000C1A7C">
        <w:t xml:space="preserve">s Acceptable Use Policy (AUP) as an example, brainstorm the reasons why some of these policies and procedures were put in place. </w:t>
      </w:r>
      <w:r w:rsidR="00CA05B1">
        <w:t>Ask, “</w:t>
      </w:r>
      <w:r w:rsidR="000C1A7C">
        <w:t>What might be the consequences of a school not having an AUP?</w:t>
      </w:r>
      <w:r w:rsidR="00CA05B1">
        <w:t xml:space="preserve"> What policies and procedures will you encounter in the workplace?”</w:t>
      </w:r>
      <w:r w:rsidR="003F72EA">
        <w:rPr>
          <w:b/>
          <w:i/>
        </w:rPr>
        <w:br/>
      </w:r>
      <w:r w:rsidR="0091407D" w:rsidRPr="003F72EA">
        <w:rPr>
          <w:sz w:val="16"/>
          <w:szCs w:val="16"/>
        </w:rPr>
        <w:br/>
      </w:r>
      <w:r w:rsidR="000C1A7C">
        <w:rPr>
          <w:b/>
        </w:rPr>
        <w:t>policy</w:t>
      </w:r>
    </w:p>
    <w:p w:rsidR="000C1A7C" w:rsidRDefault="0067035E" w:rsidP="0067035E">
      <w:pPr>
        <w:pStyle w:val="ListParagraph"/>
        <w:spacing w:line="276" w:lineRule="auto"/>
      </w:pPr>
      <w:r>
        <w:t xml:space="preserve">(noun) </w:t>
      </w:r>
      <w:r w:rsidR="000C1A7C" w:rsidRPr="000C1A7C">
        <w:t>a high-level</w:t>
      </w:r>
      <w:r w:rsidR="00DD4149">
        <w:t>,</w:t>
      </w:r>
      <w:r w:rsidR="000C1A7C" w:rsidRPr="000C1A7C">
        <w:t xml:space="preserve"> overall plan embracing the general goals and acceptable procedures of an organization</w:t>
      </w:r>
    </w:p>
    <w:p w:rsidR="000C1A7C" w:rsidRPr="003F72EA" w:rsidRDefault="000C1A7C" w:rsidP="0067035E">
      <w:pPr>
        <w:pStyle w:val="ListParagraph"/>
        <w:spacing w:line="276" w:lineRule="auto"/>
        <w:rPr>
          <w:sz w:val="16"/>
          <w:szCs w:val="16"/>
        </w:rPr>
      </w:pPr>
    </w:p>
    <w:p w:rsidR="000C1A7C" w:rsidRDefault="000C1A7C" w:rsidP="000C1A7C">
      <w:pPr>
        <w:pStyle w:val="ListParagraph"/>
        <w:spacing w:line="276" w:lineRule="auto"/>
      </w:pPr>
      <w:r>
        <w:rPr>
          <w:b/>
        </w:rPr>
        <w:t>procedure</w:t>
      </w:r>
      <w:r>
        <w:t xml:space="preserve"> </w:t>
      </w:r>
    </w:p>
    <w:p w:rsidR="000C1A7C" w:rsidRDefault="000C1A7C" w:rsidP="000C1A7C">
      <w:pPr>
        <w:pStyle w:val="ListParagraph"/>
        <w:spacing w:line="276" w:lineRule="auto"/>
      </w:pPr>
      <w:r>
        <w:t xml:space="preserve">(noun) </w:t>
      </w:r>
      <w:r>
        <w:rPr>
          <w:rStyle w:val="termtext"/>
        </w:rPr>
        <w:t>a traditional or established way of doing things</w:t>
      </w:r>
    </w:p>
    <w:p w:rsidR="001427FE" w:rsidRDefault="001427FE" w:rsidP="0067035E">
      <w:pPr>
        <w:pStyle w:val="ListParagraph"/>
        <w:spacing w:line="276" w:lineRule="auto"/>
      </w:pPr>
    </w:p>
    <w:p w:rsidR="0058336B" w:rsidRDefault="0058336B" w:rsidP="0039015E">
      <w:pPr>
        <w:pStyle w:val="ListParagraph"/>
        <w:numPr>
          <w:ilvl w:val="0"/>
          <w:numId w:val="21"/>
        </w:numPr>
        <w:spacing w:line="276" w:lineRule="auto"/>
      </w:pPr>
      <w:r>
        <w:rPr>
          <w:b/>
          <w:i/>
        </w:rPr>
        <w:t>Re</w:t>
      </w:r>
      <w:r w:rsidR="00CA05B1">
        <w:rPr>
          <w:b/>
          <w:i/>
        </w:rPr>
        <w:t>searc</w:t>
      </w:r>
      <w:r w:rsidR="00B57DEA">
        <w:rPr>
          <w:b/>
          <w:i/>
        </w:rPr>
        <w:t>h sample policies</w:t>
      </w:r>
      <w:r w:rsidR="00CA05B1">
        <w:rPr>
          <w:b/>
          <w:i/>
        </w:rPr>
        <w:t xml:space="preserve">. </w:t>
      </w:r>
      <w:r w:rsidR="00CA05B1">
        <w:t>Ask students to review the following policies</w:t>
      </w:r>
      <w:r w:rsidR="0039015E">
        <w:t xml:space="preserve">; these can be found on the </w:t>
      </w:r>
      <w:hyperlink r:id="rId10" w:history="1">
        <w:r w:rsidR="0039015E" w:rsidRPr="0039015E">
          <w:rPr>
            <w:rStyle w:val="Hyperlink"/>
          </w:rPr>
          <w:t>Virginia Department of Human Resource Management policy web page</w:t>
        </w:r>
      </w:hyperlink>
      <w:r w:rsidR="0039015E">
        <w:t xml:space="preserve"> at </w:t>
      </w:r>
      <w:hyperlink r:id="rId11" w:history="1">
        <w:r w:rsidR="0039015E" w:rsidRPr="00F7632D">
          <w:rPr>
            <w:rStyle w:val="Hyperlink"/>
          </w:rPr>
          <w:t>http://www.dhrm.virginia.gov/hrpolicies</w:t>
        </w:r>
      </w:hyperlink>
      <w:r w:rsidR="00CA05B1">
        <w:t>. Using Handout #1: Under</w:t>
      </w:r>
      <w:r w:rsidR="00BA69AA">
        <w:t>standing Policies</w:t>
      </w:r>
      <w:r w:rsidR="00B9072B">
        <w:t>, students will analyze parts of each sample.</w:t>
      </w:r>
      <w:r>
        <w:t xml:space="preserve"> </w:t>
      </w:r>
      <w:r w:rsidR="00BC5C4B">
        <w:br/>
      </w:r>
    </w:p>
    <w:p w:rsidR="005473EE" w:rsidRDefault="005473EE" w:rsidP="00105DE2">
      <w:pPr>
        <w:pStyle w:val="ListParagraph"/>
        <w:numPr>
          <w:ilvl w:val="0"/>
          <w:numId w:val="25"/>
        </w:numPr>
      </w:pPr>
      <w:r w:rsidRPr="00810549">
        <w:lastRenderedPageBreak/>
        <w:t>Virginia Department of Human Resource M</w:t>
      </w:r>
      <w:r>
        <w:t>anagement: Standards of Conduct (1.60)</w:t>
      </w:r>
    </w:p>
    <w:p w:rsidR="00100A7D" w:rsidRDefault="0039015E" w:rsidP="00105DE2">
      <w:pPr>
        <w:pStyle w:val="ListParagraph"/>
        <w:numPr>
          <w:ilvl w:val="0"/>
          <w:numId w:val="25"/>
        </w:numPr>
      </w:pPr>
      <w:r>
        <w:t>Virginia Department of Human Resource Management: Telework Policy (1.61)</w:t>
      </w:r>
    </w:p>
    <w:p w:rsidR="005473EE" w:rsidRDefault="005473EE" w:rsidP="005473EE">
      <w:pPr>
        <w:pStyle w:val="ListParagraph"/>
        <w:numPr>
          <w:ilvl w:val="0"/>
          <w:numId w:val="25"/>
        </w:numPr>
      </w:pPr>
      <w:r w:rsidRPr="00810549">
        <w:t>Virginia Department of Human Resource M</w:t>
      </w:r>
      <w:r>
        <w:t xml:space="preserve">anagement: </w:t>
      </w:r>
      <w:r w:rsidRPr="00810549">
        <w:t>Use of Electronic Communications &amp; Social Media</w:t>
      </w:r>
      <w:r>
        <w:t xml:space="preserve"> (1.75)</w:t>
      </w:r>
    </w:p>
    <w:p w:rsidR="00810549" w:rsidRPr="00810549" w:rsidRDefault="00810549" w:rsidP="00810549">
      <w:pPr>
        <w:pStyle w:val="ListParagraph"/>
        <w:numPr>
          <w:ilvl w:val="0"/>
          <w:numId w:val="25"/>
        </w:numPr>
      </w:pPr>
      <w:r w:rsidRPr="00810549">
        <w:t>Virginia Department of Human Resource M</w:t>
      </w:r>
      <w:r>
        <w:t>anagement: Workplace Harassment (2.30</w:t>
      </w:r>
      <w:r w:rsidRPr="00810549">
        <w:t>)</w:t>
      </w:r>
    </w:p>
    <w:p w:rsidR="004A3660" w:rsidRDefault="004A3660" w:rsidP="00C54C98">
      <w:pPr>
        <w:pStyle w:val="ListParagraph"/>
        <w:spacing w:line="276" w:lineRule="auto"/>
      </w:pPr>
    </w:p>
    <w:p w:rsidR="005D2395" w:rsidRDefault="0058336B" w:rsidP="00C54C98">
      <w:pPr>
        <w:pStyle w:val="ListParagraph"/>
        <w:spacing w:line="276" w:lineRule="auto"/>
      </w:pPr>
      <w:r>
        <w:t xml:space="preserve">Explain to students that this </w:t>
      </w:r>
      <w:r w:rsidR="00B9072B">
        <w:t xml:space="preserve">exercise will help them understand policies and procedures they’ll encounter in the workplace; explain that, ultimately, policies exist to protect </w:t>
      </w:r>
      <w:r w:rsidR="006B4760">
        <w:t xml:space="preserve">both </w:t>
      </w:r>
      <w:r w:rsidR="00B9072B">
        <w:t xml:space="preserve">employees and employers from situations and behaviors that could be detrimental to the organization and the people who are involved in that organization. </w:t>
      </w:r>
      <w:r w:rsidR="005D2395">
        <w:br/>
      </w:r>
    </w:p>
    <w:p w:rsidR="00B315C8" w:rsidRDefault="00F40244" w:rsidP="00F40244">
      <w:pPr>
        <w:pStyle w:val="ListParagraph"/>
        <w:numPr>
          <w:ilvl w:val="0"/>
          <w:numId w:val="21"/>
        </w:numPr>
        <w:spacing w:line="276" w:lineRule="auto"/>
      </w:pPr>
      <w:r>
        <w:rPr>
          <w:b/>
          <w:i/>
        </w:rPr>
        <w:t>Translate policy to pr</w:t>
      </w:r>
      <w:r w:rsidR="00B315C8">
        <w:rPr>
          <w:b/>
          <w:i/>
        </w:rPr>
        <w:t>actice</w:t>
      </w:r>
      <w:r w:rsidR="00BC5C4B">
        <w:rPr>
          <w:b/>
          <w:i/>
        </w:rPr>
        <w:t>.</w:t>
      </w:r>
      <w:r w:rsidR="005D63EB">
        <w:t xml:space="preserve"> </w:t>
      </w:r>
      <w:r>
        <w:t xml:space="preserve">Using your school’s Acceptable Use Policy (AUP), ask students to </w:t>
      </w:r>
      <w:r w:rsidR="00B315C8">
        <w:t xml:space="preserve">work in groups to </w:t>
      </w:r>
      <w:r>
        <w:t xml:space="preserve">research the policy outlined in the AUP and create a training </w:t>
      </w:r>
      <w:r w:rsidR="00B315C8">
        <w:t xml:space="preserve">slide </w:t>
      </w:r>
      <w:r>
        <w:t xml:space="preserve">presentation for new students. </w:t>
      </w:r>
      <w:r w:rsidR="00B315C8">
        <w:t>Student presentations should address the following:</w:t>
      </w:r>
      <w:r w:rsidR="00B315C8">
        <w:br/>
      </w:r>
    </w:p>
    <w:p w:rsidR="00B315C8" w:rsidRDefault="00B315C8" w:rsidP="00DD4149">
      <w:pPr>
        <w:pStyle w:val="ListParagraph"/>
        <w:numPr>
          <w:ilvl w:val="0"/>
          <w:numId w:val="26"/>
        </w:numPr>
        <w:spacing w:line="276" w:lineRule="auto"/>
      </w:pPr>
      <w:r>
        <w:t xml:space="preserve">What student practices does your school’s AUP require? </w:t>
      </w:r>
    </w:p>
    <w:p w:rsidR="00DD4149" w:rsidRDefault="00DD4149" w:rsidP="00DD4149">
      <w:pPr>
        <w:pStyle w:val="ListParagraph"/>
        <w:numPr>
          <w:ilvl w:val="0"/>
          <w:numId w:val="26"/>
        </w:numPr>
        <w:spacing w:line="276" w:lineRule="auto"/>
      </w:pPr>
      <w:r>
        <w:t>What are</w:t>
      </w:r>
      <w:r w:rsidR="00B315C8">
        <w:t xml:space="preserve"> the responsibilit</w:t>
      </w:r>
      <w:r>
        <w:t>ies</w:t>
      </w:r>
      <w:r w:rsidR="00B315C8">
        <w:t xml:space="preserve"> of teachers and administrators, according to the AUP?</w:t>
      </w:r>
    </w:p>
    <w:p w:rsidR="00B315C8" w:rsidRDefault="00B315C8" w:rsidP="00DD4149">
      <w:pPr>
        <w:pStyle w:val="ListParagraph"/>
        <w:numPr>
          <w:ilvl w:val="0"/>
          <w:numId w:val="26"/>
        </w:numPr>
        <w:spacing w:line="276" w:lineRule="auto"/>
      </w:pPr>
      <w:r>
        <w:t xml:space="preserve">What is the rationale behind a school’s AUP? </w:t>
      </w:r>
    </w:p>
    <w:p w:rsidR="00F40244" w:rsidRDefault="00B315C8" w:rsidP="00DD4149">
      <w:pPr>
        <w:pStyle w:val="ListParagraph"/>
        <w:numPr>
          <w:ilvl w:val="0"/>
          <w:numId w:val="26"/>
        </w:numPr>
        <w:spacing w:line="276" w:lineRule="auto"/>
      </w:pPr>
      <w:r>
        <w:t>Who does the AUP protect? Explain.</w:t>
      </w:r>
      <w:r w:rsidR="00F40244">
        <w:br/>
      </w:r>
    </w:p>
    <w:p w:rsidR="00BA24D3" w:rsidRDefault="00B315C8" w:rsidP="00B315C8">
      <w:pPr>
        <w:pStyle w:val="ListParagraph"/>
        <w:numPr>
          <w:ilvl w:val="0"/>
          <w:numId w:val="21"/>
        </w:numPr>
        <w:spacing w:line="276" w:lineRule="auto"/>
      </w:pPr>
      <w:r w:rsidRPr="00B315C8">
        <w:rPr>
          <w:b/>
          <w:i/>
        </w:rPr>
        <w:t>Share slide presentations.</w:t>
      </w:r>
      <w:r w:rsidR="00A36DD9" w:rsidRPr="00B315C8">
        <w:rPr>
          <w:b/>
        </w:rPr>
        <w:t xml:space="preserve"> </w:t>
      </w:r>
      <w:r>
        <w:t xml:space="preserve">Partner with other teachers to allow students to share training presentations with other classes. Student audiences may provide feedback on the presentations using Handout #2: </w:t>
      </w:r>
      <w:r w:rsidR="00BA69AA">
        <w:t>Understanding Policies—Presentation Assessment Rubric.</w:t>
      </w:r>
      <w:r>
        <w:br/>
      </w: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as demonstrated </w:t>
      </w:r>
      <w:r w:rsidR="00C54C98">
        <w:t xml:space="preserve">in the answers </w:t>
      </w:r>
      <w:r>
        <w:t xml:space="preserve">on </w:t>
      </w:r>
      <w:r w:rsidR="00B315C8">
        <w:t>Handout #1: Under</w:t>
      </w:r>
      <w:r w:rsidR="00BA69AA">
        <w:t>standing Policies</w:t>
      </w:r>
      <w:r w:rsidR="00B315C8">
        <w:t>.</w:t>
      </w:r>
    </w:p>
    <w:p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A36DD9">
        <w:t>by the electronic</w:t>
      </w:r>
      <w:r w:rsidR="00865399">
        <w:t xml:space="preserve"> slide</w:t>
      </w:r>
      <w:r w:rsidR="00A36DD9">
        <w:t xml:space="preserve"> presentation</w:t>
      </w:r>
      <w:r w:rsidR="00865399">
        <w:t xml:space="preserve"> created.</w:t>
      </w:r>
      <w:r w:rsidR="00C03A96">
        <w:t xml:space="preserve"> </w:t>
      </w:r>
      <w:r>
        <w:t xml:space="preserve"> </w:t>
      </w:r>
      <w:r>
        <w:br/>
      </w:r>
    </w:p>
    <w:p w:rsidR="004F32A2" w:rsidRDefault="00661427">
      <w:pPr>
        <w:pStyle w:val="Subtitle"/>
      </w:pPr>
      <w:r>
        <w:t>Options for Adaptation/Differentiation:</w:t>
      </w:r>
    </w:p>
    <w:p w:rsidR="004F32A2" w:rsidRDefault="00661427" w:rsidP="0003328E">
      <w:pPr>
        <w:pStyle w:val="ListParagraph"/>
        <w:numPr>
          <w:ilvl w:val="0"/>
          <w:numId w:val="14"/>
        </w:numPr>
      </w:pPr>
      <w:r>
        <w:t>To offer scaffolding to students</w:t>
      </w:r>
      <w:r w:rsidR="004A7123">
        <w:t xml:space="preserve"> and to complete this activity in a shorter time frame</w:t>
      </w:r>
      <w:r>
        <w:t xml:space="preserve">, </w:t>
      </w:r>
      <w:r w:rsidR="00B315C8">
        <w:t xml:space="preserve">choose just one of the sample policies and review and discuss it </w:t>
      </w:r>
      <w:r w:rsidR="0003328E">
        <w:t>as a whole group.</w:t>
      </w:r>
    </w:p>
    <w:p w:rsidR="0003328E" w:rsidRDefault="0003328E" w:rsidP="0003328E">
      <w:pPr>
        <w:pStyle w:val="ListParagraph"/>
        <w:numPr>
          <w:ilvl w:val="0"/>
          <w:numId w:val="14"/>
        </w:numPr>
      </w:pPr>
      <w:r>
        <w:t xml:space="preserve">To offer an extension opportunity, ask students to use the tips they’ve discovered through their research to create an awareness campaign related to </w:t>
      </w:r>
      <w:r w:rsidR="00B315C8">
        <w:t>their school’s AUP</w:t>
      </w:r>
      <w:r>
        <w:t>. Student products may include a bulletin board display, posters, or public service announcements recorded on video and shared with the school.</w:t>
      </w:r>
    </w:p>
    <w:p w:rsidR="00C937CC" w:rsidRDefault="00C937CC">
      <w:pPr>
        <w:pStyle w:val="Subtitle"/>
      </w:pPr>
    </w:p>
    <w:p w:rsidR="003F72EA" w:rsidRDefault="003F72EA">
      <w:pPr>
        <w:rPr>
          <w:color w:val="5A5A5A"/>
        </w:rPr>
      </w:pPr>
      <w:r>
        <w:br w:type="page"/>
      </w:r>
    </w:p>
    <w:p w:rsidR="004F32A2" w:rsidRDefault="00661427">
      <w:pPr>
        <w:pStyle w:val="Subtitle"/>
      </w:pPr>
      <w:r>
        <w:lastRenderedPageBreak/>
        <w:t xml:space="preserve">Suggestions for Follow-up: </w:t>
      </w:r>
    </w:p>
    <w:p w:rsidR="00E32177" w:rsidRDefault="00B315C8" w:rsidP="00E32177">
      <w:pPr>
        <w:pStyle w:val="ListParagraph"/>
        <w:numPr>
          <w:ilvl w:val="0"/>
          <w:numId w:val="15"/>
        </w:numPr>
      </w:pPr>
      <w:r>
        <w:t xml:space="preserve">Ask students to apply their learning by creating a classroom policy centered </w:t>
      </w:r>
      <w:r w:rsidR="00562FD4">
        <w:t xml:space="preserve">on </w:t>
      </w:r>
      <w:r>
        <w:t>a daily routine (e.g., turning in homework, behaviors when entering and exiting class, expectations for participation in group discussions).</w:t>
      </w:r>
      <w:r w:rsidR="00865399">
        <w:t xml:space="preserve"> </w:t>
      </w:r>
    </w:p>
    <w:p w:rsidR="00DD4149" w:rsidRPr="00DD4149" w:rsidRDefault="00004374" w:rsidP="00DD4149">
      <w:pPr>
        <w:pStyle w:val="ListParagraph"/>
        <w:numPr>
          <w:ilvl w:val="0"/>
          <w:numId w:val="15"/>
        </w:numPr>
      </w:pPr>
      <w:r>
        <w:t>Ask students to write a journal reflection using the fol</w:t>
      </w:r>
      <w:r w:rsidR="006A7A1F">
        <w:t xml:space="preserve">lowing prompt: </w:t>
      </w:r>
      <w:r w:rsidR="006A7A1F">
        <w:br/>
      </w:r>
    </w:p>
    <w:p w:rsidR="002E21E5" w:rsidRPr="002E21E5" w:rsidRDefault="006A7A1F" w:rsidP="002E21E5">
      <w:pPr>
        <w:pStyle w:val="ListParagraph"/>
        <w:ind w:left="1440"/>
        <w:rPr>
          <w:i/>
        </w:rPr>
      </w:pPr>
      <w:r w:rsidRPr="00DD4149">
        <w:rPr>
          <w:i/>
        </w:rPr>
        <w:t>Adil has worked hard in his chosen career field, construction. He is finally ready to make the big jump—Adil is starting his own business as a home renovator. Before doing so, he must plan for budgets, workload, employees, equipment, and more. As part of his planning, Adil is considering what policies and procedures he should put in place to protect his business, his employees, and his customers/clients. What policies and procedures should Adil consider?</w:t>
      </w:r>
      <w:r w:rsidR="00CC0C37" w:rsidRPr="00DD4149">
        <w:rPr>
          <w:i/>
        </w:rPr>
        <w:t xml:space="preserve"> Explain.</w:t>
      </w:r>
    </w:p>
    <w:p w:rsidR="002E21E5" w:rsidRDefault="002E21E5" w:rsidP="002E21E5"/>
    <w:p w:rsidR="002E21E5" w:rsidRPr="00705FC3" w:rsidRDefault="002E21E5" w:rsidP="002E21E5">
      <w:pPr>
        <w:spacing w:after="160"/>
        <w:rPr>
          <w:color w:val="5A5A5A"/>
        </w:rPr>
      </w:pPr>
      <w:r w:rsidRPr="00705FC3">
        <w:rPr>
          <w:color w:val="5A5A5A"/>
        </w:rPr>
        <w:t>Teacher Resources:</w:t>
      </w:r>
    </w:p>
    <w:p w:rsidR="002E21E5" w:rsidRPr="00705FC3" w:rsidRDefault="001E6D91" w:rsidP="002E21E5">
      <w:hyperlink r:id="rId12">
        <w:r w:rsidR="002E21E5" w:rsidRPr="00705FC3">
          <w:rPr>
            <w:color w:val="0563C1"/>
            <w:u w:val="single"/>
          </w:rPr>
          <w:t>Soft Skills to Pay the Bills — Mastering Soft Skills for Workplace Success</w:t>
        </w:r>
      </w:hyperlink>
      <w:r w:rsidR="002E21E5" w:rsidRPr="00705FC3">
        <w:t xml:space="preserve"> (</w:t>
      </w:r>
      <w:hyperlink r:id="rId13">
        <w:r w:rsidR="002E21E5" w:rsidRPr="00705FC3">
          <w:rPr>
            <w:color w:val="0563C1"/>
            <w:u w:val="single"/>
          </w:rPr>
          <w:t>https://www.dol.gov/odep/topics/youth/softskills/</w:t>
        </w:r>
      </w:hyperlink>
      <w:r w:rsidR="002E21E5" w:rsidRPr="00705FC3">
        <w:t>), U.S. Department of Labor, Office of Disability Employment Policy.</w:t>
      </w:r>
    </w:p>
    <w:p w:rsidR="002E21E5" w:rsidRPr="00705FC3" w:rsidRDefault="002E21E5" w:rsidP="002E21E5"/>
    <w:p w:rsidR="002E21E5" w:rsidRPr="00705FC3" w:rsidRDefault="001E6D91" w:rsidP="002E21E5">
      <w:hyperlink r:id="rId14">
        <w:r w:rsidR="002E21E5" w:rsidRPr="00705FC3">
          <w:rPr>
            <w:color w:val="0563C1"/>
            <w:u w:val="single"/>
          </w:rPr>
          <w:t>Workplace Readiness Skills (WRS) Assessment: Virginia Overview</w:t>
        </w:r>
      </w:hyperlink>
      <w:r w:rsidR="002E21E5" w:rsidRPr="00705FC3">
        <w:t xml:space="preserve"> (</w:t>
      </w:r>
      <w:hyperlink r:id="rId15">
        <w:r w:rsidR="002E21E5" w:rsidRPr="00705FC3">
          <w:rPr>
            <w:color w:val="0563C1"/>
            <w:u w:val="single"/>
          </w:rPr>
          <w:t>https://www.ctecs.org/virginia/virginia-overview</w:t>
        </w:r>
      </w:hyperlink>
      <w:r w:rsidR="002E21E5" w:rsidRPr="00705FC3">
        <w:t xml:space="preserve">), Career and Technical Education Consortium of States (CTECS). </w:t>
      </w:r>
    </w:p>
    <w:p w:rsidR="002E21E5" w:rsidRPr="00705FC3" w:rsidRDefault="002E21E5" w:rsidP="002E21E5"/>
    <w:p w:rsidR="006B4760" w:rsidRPr="00744E50" w:rsidRDefault="001E6D91" w:rsidP="001E6D91">
      <w:pPr>
        <w:rPr>
          <w:vanish/>
        </w:rPr>
      </w:pPr>
      <w:hyperlink r:id="rId16" w:history="1">
        <w:r w:rsidR="002E21E5" w:rsidRPr="00705FC3">
          <w:rPr>
            <w:color w:val="0563C1" w:themeColor="hyperlink"/>
            <w:u w:val="single"/>
          </w:rPr>
          <w:t>Workplace Readiness Skills (WRS) for the Commonwealth: Instructional Resources</w:t>
        </w:r>
      </w:hyperlink>
      <w:r w:rsidR="002E21E5" w:rsidRPr="00705FC3">
        <w:t xml:space="preserve"> (</w:t>
      </w:r>
      <w:hyperlink r:id="rId17" w:history="1">
        <w:r w:rsidR="002E21E5" w:rsidRPr="00705FC3">
          <w:rPr>
            <w:color w:val="0563C1" w:themeColor="hyperlink"/>
            <w:u w:val="single"/>
          </w:rPr>
          <w:t>http://cteresource.org/wrs/index.html</w:t>
        </w:r>
      </w:hyperlink>
      <w:r w:rsidR="002E21E5" w:rsidRPr="00705FC3">
        <w:t>), Career and Technical Education (CTE) Resource Center</w:t>
      </w:r>
      <w:bookmarkStart w:id="3" w:name="_GoBack"/>
      <w:bookmarkEnd w:id="3"/>
      <w:r w:rsidR="002E21E5" w:rsidRPr="00705FC3">
        <w:t>.</w:t>
      </w:r>
      <w:r w:rsidRPr="00744E50">
        <w:rPr>
          <w:vanish/>
        </w:rPr>
        <w:t xml:space="preserve"> </w:t>
      </w:r>
    </w:p>
    <w:p w:rsidR="007D21AC" w:rsidRPr="004C4DE3" w:rsidRDefault="007D21AC" w:rsidP="007D21AC">
      <w:pPr>
        <w:rPr>
          <w:vanish/>
        </w:rPr>
      </w:pPr>
    </w:p>
    <w:sectPr w:rsidR="007D21AC" w:rsidRPr="004C4DE3" w:rsidSect="001E6D91">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printerSettings r:id="rId2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55" w:rsidRDefault="00BE0955">
      <w:r>
        <w:separator/>
      </w:r>
    </w:p>
  </w:endnote>
  <w:endnote w:type="continuationSeparator" w:id="0">
    <w:p w:rsidR="00BE0955" w:rsidRDefault="00BE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D9" w:rsidRDefault="004C34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D9" w:rsidRDefault="004C34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55" w:rsidRDefault="00BE0955">
      <w:r>
        <w:separator/>
      </w:r>
    </w:p>
  </w:footnote>
  <w:footnote w:type="continuationSeparator" w:id="0">
    <w:p w:rsidR="00BE0955" w:rsidRDefault="00BE0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D9" w:rsidRDefault="004C34D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D9" w:rsidRDefault="004C34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830ED3"/>
    <w:multiLevelType w:val="hybridMultilevel"/>
    <w:tmpl w:val="ED4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6950794"/>
    <w:multiLevelType w:val="hybridMultilevel"/>
    <w:tmpl w:val="B7E4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5">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79A036B3"/>
    <w:multiLevelType w:val="hybridMultilevel"/>
    <w:tmpl w:val="786C31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0"/>
  </w:num>
  <w:num w:numId="4">
    <w:abstractNumId w:val="24"/>
  </w:num>
  <w:num w:numId="5">
    <w:abstractNumId w:val="3"/>
  </w:num>
  <w:num w:numId="6">
    <w:abstractNumId w:val="11"/>
  </w:num>
  <w:num w:numId="7">
    <w:abstractNumId w:val="25"/>
  </w:num>
  <w:num w:numId="8">
    <w:abstractNumId w:val="13"/>
  </w:num>
  <w:num w:numId="9">
    <w:abstractNumId w:val="4"/>
  </w:num>
  <w:num w:numId="10">
    <w:abstractNumId w:val="1"/>
  </w:num>
  <w:num w:numId="11">
    <w:abstractNumId w:val="8"/>
  </w:num>
  <w:num w:numId="12">
    <w:abstractNumId w:val="23"/>
  </w:num>
  <w:num w:numId="13">
    <w:abstractNumId w:val="22"/>
  </w:num>
  <w:num w:numId="14">
    <w:abstractNumId w:val="6"/>
  </w:num>
  <w:num w:numId="15">
    <w:abstractNumId w:val="18"/>
  </w:num>
  <w:num w:numId="16">
    <w:abstractNumId w:val="17"/>
  </w:num>
  <w:num w:numId="17">
    <w:abstractNumId w:val="10"/>
  </w:num>
  <w:num w:numId="18">
    <w:abstractNumId w:val="19"/>
  </w:num>
  <w:num w:numId="19">
    <w:abstractNumId w:val="21"/>
  </w:num>
  <w:num w:numId="20">
    <w:abstractNumId w:val="12"/>
  </w:num>
  <w:num w:numId="21">
    <w:abstractNumId w:val="20"/>
  </w:num>
  <w:num w:numId="22">
    <w:abstractNumId w:val="9"/>
  </w:num>
  <w:num w:numId="23">
    <w:abstractNumId w:val="27"/>
  </w:num>
  <w:num w:numId="24">
    <w:abstractNumId w:val="15"/>
  </w:num>
  <w:num w:numId="25">
    <w:abstractNumId w:val="7"/>
  </w:num>
  <w:num w:numId="26">
    <w:abstractNumId w:val="26"/>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4371A"/>
    <w:rsid w:val="00046F99"/>
    <w:rsid w:val="00060C72"/>
    <w:rsid w:val="000674C0"/>
    <w:rsid w:val="000745A9"/>
    <w:rsid w:val="00087F5C"/>
    <w:rsid w:val="00097359"/>
    <w:rsid w:val="000B32E7"/>
    <w:rsid w:val="000C1A7C"/>
    <w:rsid w:val="000D12B5"/>
    <w:rsid w:val="000D6321"/>
    <w:rsid w:val="000D7D03"/>
    <w:rsid w:val="000E1B8E"/>
    <w:rsid w:val="000E7FA5"/>
    <w:rsid w:val="000F0693"/>
    <w:rsid w:val="000F0ED8"/>
    <w:rsid w:val="000F79CF"/>
    <w:rsid w:val="00100A7D"/>
    <w:rsid w:val="00103BD3"/>
    <w:rsid w:val="00105DE2"/>
    <w:rsid w:val="0011143F"/>
    <w:rsid w:val="00121552"/>
    <w:rsid w:val="00121D7A"/>
    <w:rsid w:val="0012736D"/>
    <w:rsid w:val="00140AF7"/>
    <w:rsid w:val="001427FE"/>
    <w:rsid w:val="001512CA"/>
    <w:rsid w:val="00172542"/>
    <w:rsid w:val="001858E3"/>
    <w:rsid w:val="00193DAC"/>
    <w:rsid w:val="001A1C6B"/>
    <w:rsid w:val="001B05D2"/>
    <w:rsid w:val="001E1A46"/>
    <w:rsid w:val="001E1AC3"/>
    <w:rsid w:val="001E6D91"/>
    <w:rsid w:val="001F67A1"/>
    <w:rsid w:val="00220D00"/>
    <w:rsid w:val="0023457F"/>
    <w:rsid w:val="002368B6"/>
    <w:rsid w:val="002508D9"/>
    <w:rsid w:val="002619CF"/>
    <w:rsid w:val="00275D21"/>
    <w:rsid w:val="00276C53"/>
    <w:rsid w:val="002A76BD"/>
    <w:rsid w:val="002B3BAE"/>
    <w:rsid w:val="002C7DFC"/>
    <w:rsid w:val="002D68DB"/>
    <w:rsid w:val="002D6B46"/>
    <w:rsid w:val="002E21E5"/>
    <w:rsid w:val="002E3BF6"/>
    <w:rsid w:val="002E773E"/>
    <w:rsid w:val="002F0D6C"/>
    <w:rsid w:val="002F12B2"/>
    <w:rsid w:val="002F342A"/>
    <w:rsid w:val="003035D0"/>
    <w:rsid w:val="00312A77"/>
    <w:rsid w:val="003272F3"/>
    <w:rsid w:val="00337F9A"/>
    <w:rsid w:val="00346F79"/>
    <w:rsid w:val="00347A42"/>
    <w:rsid w:val="003703ED"/>
    <w:rsid w:val="0038551D"/>
    <w:rsid w:val="00385566"/>
    <w:rsid w:val="003866D5"/>
    <w:rsid w:val="0039015E"/>
    <w:rsid w:val="003938FD"/>
    <w:rsid w:val="003B292E"/>
    <w:rsid w:val="003B7E5A"/>
    <w:rsid w:val="003D2328"/>
    <w:rsid w:val="003E7005"/>
    <w:rsid w:val="003F01BF"/>
    <w:rsid w:val="003F0F69"/>
    <w:rsid w:val="003F72EA"/>
    <w:rsid w:val="00400151"/>
    <w:rsid w:val="00401BBE"/>
    <w:rsid w:val="004122BA"/>
    <w:rsid w:val="0042346B"/>
    <w:rsid w:val="004320F6"/>
    <w:rsid w:val="00447AD5"/>
    <w:rsid w:val="00455424"/>
    <w:rsid w:val="00464F90"/>
    <w:rsid w:val="00472902"/>
    <w:rsid w:val="0048734D"/>
    <w:rsid w:val="00492C2A"/>
    <w:rsid w:val="004A3660"/>
    <w:rsid w:val="004A7123"/>
    <w:rsid w:val="004A7EC2"/>
    <w:rsid w:val="004B0BC5"/>
    <w:rsid w:val="004C34D9"/>
    <w:rsid w:val="004C4DE3"/>
    <w:rsid w:val="004D701D"/>
    <w:rsid w:val="004F32A2"/>
    <w:rsid w:val="00505756"/>
    <w:rsid w:val="0051547E"/>
    <w:rsid w:val="00521075"/>
    <w:rsid w:val="005252E5"/>
    <w:rsid w:val="005473EE"/>
    <w:rsid w:val="005609D6"/>
    <w:rsid w:val="00562FD4"/>
    <w:rsid w:val="00565301"/>
    <w:rsid w:val="00580711"/>
    <w:rsid w:val="0058336B"/>
    <w:rsid w:val="00586D16"/>
    <w:rsid w:val="00594E51"/>
    <w:rsid w:val="005B3DAE"/>
    <w:rsid w:val="005D2395"/>
    <w:rsid w:val="005D3365"/>
    <w:rsid w:val="005D63EB"/>
    <w:rsid w:val="005E50BC"/>
    <w:rsid w:val="00610F9D"/>
    <w:rsid w:val="006118D1"/>
    <w:rsid w:val="00611CD8"/>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D34AB"/>
    <w:rsid w:val="006D7010"/>
    <w:rsid w:val="006F75A3"/>
    <w:rsid w:val="00703E44"/>
    <w:rsid w:val="00722046"/>
    <w:rsid w:val="00722CE1"/>
    <w:rsid w:val="00723443"/>
    <w:rsid w:val="00727AA4"/>
    <w:rsid w:val="00744E50"/>
    <w:rsid w:val="00755E37"/>
    <w:rsid w:val="00757052"/>
    <w:rsid w:val="00767B49"/>
    <w:rsid w:val="00776F42"/>
    <w:rsid w:val="007908A2"/>
    <w:rsid w:val="00794BFA"/>
    <w:rsid w:val="007A365B"/>
    <w:rsid w:val="007B3015"/>
    <w:rsid w:val="007C13DD"/>
    <w:rsid w:val="007D21AC"/>
    <w:rsid w:val="007E0063"/>
    <w:rsid w:val="0080265D"/>
    <w:rsid w:val="0080289E"/>
    <w:rsid w:val="00810549"/>
    <w:rsid w:val="008467C1"/>
    <w:rsid w:val="00850179"/>
    <w:rsid w:val="00865399"/>
    <w:rsid w:val="00892984"/>
    <w:rsid w:val="008B4D61"/>
    <w:rsid w:val="008C6EC9"/>
    <w:rsid w:val="008D0DDC"/>
    <w:rsid w:val="008E1133"/>
    <w:rsid w:val="00903482"/>
    <w:rsid w:val="00912CFD"/>
    <w:rsid w:val="0091407D"/>
    <w:rsid w:val="00936139"/>
    <w:rsid w:val="00936CDC"/>
    <w:rsid w:val="0094474B"/>
    <w:rsid w:val="00946544"/>
    <w:rsid w:val="00962923"/>
    <w:rsid w:val="009729E0"/>
    <w:rsid w:val="0098243B"/>
    <w:rsid w:val="00983E81"/>
    <w:rsid w:val="0098589E"/>
    <w:rsid w:val="009B46CE"/>
    <w:rsid w:val="009C341E"/>
    <w:rsid w:val="009E3C23"/>
    <w:rsid w:val="009F3B1C"/>
    <w:rsid w:val="00A105D9"/>
    <w:rsid w:val="00A10E62"/>
    <w:rsid w:val="00A34E1C"/>
    <w:rsid w:val="00A36DD9"/>
    <w:rsid w:val="00A41BCB"/>
    <w:rsid w:val="00A5661B"/>
    <w:rsid w:val="00A616E5"/>
    <w:rsid w:val="00A764C4"/>
    <w:rsid w:val="00A82094"/>
    <w:rsid w:val="00A84D8E"/>
    <w:rsid w:val="00AA0B04"/>
    <w:rsid w:val="00AB19C8"/>
    <w:rsid w:val="00AC26D3"/>
    <w:rsid w:val="00AD0E2F"/>
    <w:rsid w:val="00AF6AE0"/>
    <w:rsid w:val="00B003F4"/>
    <w:rsid w:val="00B06061"/>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0955"/>
    <w:rsid w:val="00BE2FDE"/>
    <w:rsid w:val="00BE476F"/>
    <w:rsid w:val="00BF1861"/>
    <w:rsid w:val="00C030DC"/>
    <w:rsid w:val="00C03A96"/>
    <w:rsid w:val="00C34A67"/>
    <w:rsid w:val="00C40B88"/>
    <w:rsid w:val="00C4617B"/>
    <w:rsid w:val="00C52BD7"/>
    <w:rsid w:val="00C54C98"/>
    <w:rsid w:val="00C74092"/>
    <w:rsid w:val="00C84FD3"/>
    <w:rsid w:val="00C857AD"/>
    <w:rsid w:val="00C937CC"/>
    <w:rsid w:val="00CA05B1"/>
    <w:rsid w:val="00CB71A2"/>
    <w:rsid w:val="00CC0C37"/>
    <w:rsid w:val="00D05B9D"/>
    <w:rsid w:val="00D33A4E"/>
    <w:rsid w:val="00D472EA"/>
    <w:rsid w:val="00D7071E"/>
    <w:rsid w:val="00D73055"/>
    <w:rsid w:val="00D831A9"/>
    <w:rsid w:val="00D865A9"/>
    <w:rsid w:val="00D90FF5"/>
    <w:rsid w:val="00DA1851"/>
    <w:rsid w:val="00DB2916"/>
    <w:rsid w:val="00DC7625"/>
    <w:rsid w:val="00DD2E8B"/>
    <w:rsid w:val="00DD4149"/>
    <w:rsid w:val="00DD6139"/>
    <w:rsid w:val="00DF2D73"/>
    <w:rsid w:val="00E122F4"/>
    <w:rsid w:val="00E32177"/>
    <w:rsid w:val="00E354A8"/>
    <w:rsid w:val="00E44E27"/>
    <w:rsid w:val="00E654DC"/>
    <w:rsid w:val="00E75FDB"/>
    <w:rsid w:val="00E83E6E"/>
    <w:rsid w:val="00E869DD"/>
    <w:rsid w:val="00E900AD"/>
    <w:rsid w:val="00E934CF"/>
    <w:rsid w:val="00EA1418"/>
    <w:rsid w:val="00EA206E"/>
    <w:rsid w:val="00EC022C"/>
    <w:rsid w:val="00EC0E83"/>
    <w:rsid w:val="00ED0CC7"/>
    <w:rsid w:val="00EE28D6"/>
    <w:rsid w:val="00EE497E"/>
    <w:rsid w:val="00F24D5D"/>
    <w:rsid w:val="00F40244"/>
    <w:rsid w:val="00F40BB1"/>
    <w:rsid w:val="00F674F6"/>
    <w:rsid w:val="00F83D3F"/>
    <w:rsid w:val="00F93579"/>
    <w:rsid w:val="00FB1A56"/>
    <w:rsid w:val="00FC6832"/>
    <w:rsid w:val="00FE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printerSettings" Target="printerSettings/printerSettings1.bin"/><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dhrm.virginia.gov/hrpolicies" TargetMode="External"/><Relationship Id="rId11" Type="http://schemas.openxmlformats.org/officeDocument/2006/relationships/hyperlink" Target="http://www.dhrm.virginia.gov/hrpolicies" TargetMode="External"/><Relationship Id="rId12" Type="http://schemas.openxmlformats.org/officeDocument/2006/relationships/hyperlink" Target="https://www.dol.gov/odep/topics/youth/softskills/" TargetMode="External"/><Relationship Id="rId13" Type="http://schemas.openxmlformats.org/officeDocument/2006/relationships/hyperlink" Target="https://www.dol.gov/odep/topics/youth/softskills/" TargetMode="External"/><Relationship Id="rId14" Type="http://schemas.openxmlformats.org/officeDocument/2006/relationships/hyperlink" Target="https://www.ctecs.org/virginia/virginia-overview" TargetMode="External"/><Relationship Id="rId15" Type="http://schemas.openxmlformats.org/officeDocument/2006/relationships/hyperlink" Target="https://www.ctecs.org/virginia/virginia-overview" TargetMode="External"/><Relationship Id="rId16" Type="http://schemas.openxmlformats.org/officeDocument/2006/relationships/hyperlink" Target="http://cteresource.org/wrs/index.html" TargetMode="External"/><Relationship Id="rId17" Type="http://schemas.openxmlformats.org/officeDocument/2006/relationships/hyperlink" Target="http://cteresource.org/wrs/index.html"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141D-DBA5-CC45-A488-183E80F5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877</Words>
  <Characters>5003</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2017-06-19T15:51:00Z</cp:lastPrinted>
  <dcterms:created xsi:type="dcterms:W3CDTF">2019-07-23T11:40:00Z</dcterms:created>
  <dcterms:modified xsi:type="dcterms:W3CDTF">2019-07-23T11:40:00Z</dcterms:modified>
</cp:coreProperties>
</file>