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bookmarkStart w:id="0" w:name="_GoBack"/>
      <w:bookmarkEnd w:id="0"/>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C0E83" w:rsidRDefault="00722046" w:rsidP="00654C6B">
      <w:pPr>
        <w:pStyle w:val="Title"/>
      </w:pPr>
      <w:r>
        <w:t xml:space="preserve">Demonstrating </w:t>
      </w:r>
      <w:r w:rsidR="001F402A">
        <w:t xml:space="preserve">Respect for </w:t>
      </w:r>
      <w:r w:rsidR="00EC0E83">
        <w:t>Diversity</w:t>
      </w:r>
      <w:r w:rsidR="00BE2FDE">
        <w:t>:</w:t>
      </w:r>
      <w:r w:rsidR="00EC0E83">
        <w:t xml:space="preserve"> </w:t>
      </w:r>
    </w:p>
    <w:p w:rsidR="00654C6B" w:rsidRPr="00654C6B" w:rsidRDefault="0003328E" w:rsidP="00654C6B">
      <w:pPr>
        <w:pStyle w:val="Title"/>
      </w:pPr>
      <w:r>
        <w:rPr>
          <w:sz w:val="44"/>
          <w:szCs w:val="44"/>
        </w:rPr>
        <w:t>Interacting with People w</w:t>
      </w:r>
      <w:r w:rsidR="00936139" w:rsidRPr="00936139">
        <w:rPr>
          <w:sz w:val="44"/>
          <w:szCs w:val="44"/>
        </w:rPr>
        <w:t>ith Disabilities</w:t>
      </w:r>
    </w:p>
    <w:p w:rsidR="004F32A2" w:rsidRDefault="004F32A2"/>
    <w:p w:rsidR="00AC26D3" w:rsidRDefault="00661427">
      <w:r>
        <w:rPr>
          <w:color w:val="5A5A5A"/>
        </w:rPr>
        <w:t>Objective</w:t>
      </w:r>
      <w:r w:rsidR="003035D0">
        <w:t xml:space="preserve">: Students will </w:t>
      </w:r>
      <w:r w:rsidR="009C341E">
        <w:t xml:space="preserve">explore </w:t>
      </w:r>
      <w:r w:rsidR="00AF6AE0">
        <w:t>etiquette followed when</w:t>
      </w:r>
      <w:r w:rsidR="0067035E">
        <w:t xml:space="preserve"> interacting with people </w:t>
      </w:r>
      <w:r w:rsidR="0003328E">
        <w:t>who have</w:t>
      </w:r>
      <w:r w:rsidR="0067035E">
        <w:t xml:space="preserve"> various disabilities.</w:t>
      </w:r>
    </w:p>
    <w:p w:rsidR="00D90FF5" w:rsidRDefault="00AC26D3">
      <w:r>
        <w:t xml:space="preserve"> </w:t>
      </w:r>
    </w:p>
    <w:p w:rsidR="00D90FF5" w:rsidRDefault="00661427" w:rsidP="00D90FF5">
      <w:r>
        <w:rPr>
          <w:color w:val="5A5A5A"/>
        </w:rPr>
        <w:t>Workplace Readiness Skill:</w:t>
      </w:r>
      <w:r>
        <w:t xml:space="preserve"> </w:t>
      </w:r>
      <w:r w:rsidR="00EC0E83">
        <w:rPr>
          <w:b/>
        </w:rPr>
        <w:t xml:space="preserve">Demonstrate </w:t>
      </w:r>
      <w:r w:rsidR="001F402A">
        <w:rPr>
          <w:b/>
        </w:rPr>
        <w:t>respect for diversity</w:t>
      </w:r>
      <w:r w:rsidR="00D90FF5" w:rsidRPr="00D90FF5">
        <w:rPr>
          <w:b/>
        </w:rPr>
        <w:t>.</w:t>
      </w:r>
    </w:p>
    <w:p w:rsidR="00D90FF5" w:rsidRDefault="00D90FF5" w:rsidP="00D90FF5"/>
    <w:p w:rsidR="001F402A" w:rsidRPr="001F402A" w:rsidRDefault="001F402A" w:rsidP="001F402A">
      <w:pPr>
        <w:pStyle w:val="Subtitle"/>
        <w:spacing w:after="0"/>
        <w:rPr>
          <w:i/>
          <w:color w:val="000000"/>
        </w:rPr>
      </w:pPr>
      <w:r w:rsidRPr="001F402A">
        <w:rPr>
          <w:i/>
          <w:color w:val="000000"/>
        </w:rPr>
        <w:t xml:space="preserve">Demonstration includes </w:t>
      </w:r>
    </w:p>
    <w:p w:rsidR="001F402A" w:rsidRPr="001F402A" w:rsidRDefault="001F402A" w:rsidP="001F402A">
      <w:pPr>
        <w:pStyle w:val="Subtitle"/>
        <w:numPr>
          <w:ilvl w:val="0"/>
          <w:numId w:val="25"/>
        </w:numPr>
        <w:spacing w:after="0"/>
        <w:rPr>
          <w:i/>
          <w:color w:val="000000"/>
        </w:rPr>
      </w:pPr>
      <w:r w:rsidRPr="001F402A">
        <w:rPr>
          <w:i/>
          <w:color w:val="000000"/>
        </w:rPr>
        <w:t xml:space="preserve">defining </w:t>
      </w:r>
      <w:r w:rsidRPr="001F402A">
        <w:rPr>
          <w:b/>
          <w:i/>
          <w:color w:val="000000"/>
        </w:rPr>
        <w:t>diversity</w:t>
      </w:r>
      <w:r w:rsidRPr="001F402A">
        <w:rPr>
          <w:i/>
          <w:color w:val="000000"/>
        </w:rPr>
        <w:t xml:space="preserve"> and discussing its importance </w:t>
      </w:r>
    </w:p>
    <w:p w:rsidR="001F402A" w:rsidRPr="001F402A" w:rsidRDefault="001F402A" w:rsidP="001F402A">
      <w:pPr>
        <w:pStyle w:val="Subtitle"/>
        <w:numPr>
          <w:ilvl w:val="0"/>
          <w:numId w:val="25"/>
        </w:numPr>
        <w:spacing w:after="0"/>
        <w:rPr>
          <w:i/>
          <w:color w:val="000000"/>
        </w:rPr>
      </w:pPr>
      <w:r w:rsidRPr="001F402A">
        <w:rPr>
          <w:i/>
          <w:color w:val="000000"/>
        </w:rPr>
        <w:t xml:space="preserve">identifying individual differences (e.g., age, gender, ethnicity, culture, race, viewpoints, socioeconomic status, and ability) </w:t>
      </w:r>
    </w:p>
    <w:p w:rsidR="001F402A" w:rsidRPr="001F402A" w:rsidRDefault="001F402A" w:rsidP="001F402A">
      <w:pPr>
        <w:pStyle w:val="Subtitle"/>
        <w:numPr>
          <w:ilvl w:val="0"/>
          <w:numId w:val="25"/>
        </w:numPr>
        <w:spacing w:after="0"/>
        <w:rPr>
          <w:i/>
          <w:color w:val="000000"/>
        </w:rPr>
      </w:pPr>
      <w:r w:rsidRPr="001F402A">
        <w:rPr>
          <w:i/>
          <w:color w:val="000000"/>
        </w:rPr>
        <w:t xml:space="preserve">showing respect for and valuing individual differences in the workplace </w:t>
      </w:r>
    </w:p>
    <w:p w:rsidR="001F402A" w:rsidRPr="001F402A" w:rsidRDefault="001F402A" w:rsidP="001F402A">
      <w:pPr>
        <w:pStyle w:val="Subtitle"/>
        <w:numPr>
          <w:ilvl w:val="0"/>
          <w:numId w:val="25"/>
        </w:numPr>
        <w:spacing w:after="0"/>
        <w:rPr>
          <w:i/>
          <w:color w:val="000000"/>
        </w:rPr>
      </w:pPr>
      <w:r w:rsidRPr="001F402A">
        <w:rPr>
          <w:i/>
          <w:color w:val="000000"/>
        </w:rPr>
        <w:t xml:space="preserve">being self-aware and mindful of one’s own bias </w:t>
      </w:r>
    </w:p>
    <w:p w:rsidR="001F402A" w:rsidRPr="001F402A" w:rsidRDefault="001F402A" w:rsidP="001F402A">
      <w:pPr>
        <w:pStyle w:val="Subtitle"/>
        <w:numPr>
          <w:ilvl w:val="0"/>
          <w:numId w:val="25"/>
        </w:numPr>
        <w:spacing w:after="0"/>
        <w:rPr>
          <w:i/>
          <w:color w:val="000000"/>
        </w:rPr>
      </w:pPr>
      <w:r w:rsidRPr="001F402A">
        <w:rPr>
          <w:i/>
          <w:color w:val="000000"/>
        </w:rPr>
        <w:t xml:space="preserve">collaborating with people of diverse backgrounds, viewpoints, and experiences. </w:t>
      </w:r>
      <w:r>
        <w:rPr>
          <w:i/>
          <w:color w:val="000000"/>
        </w:rPr>
        <w:br/>
      </w:r>
    </w:p>
    <w:p w:rsidR="004F32A2" w:rsidRDefault="00661427">
      <w:pPr>
        <w:pStyle w:val="Subtitle"/>
      </w:pPr>
      <w:r>
        <w:t>Correlations to Other Workplace Readiness Skills:</w:t>
      </w:r>
    </w:p>
    <w:p w:rsidR="001F402A" w:rsidRDefault="001F402A" w:rsidP="001F402A">
      <w:pPr>
        <w:pStyle w:val="ListParagraph"/>
        <w:numPr>
          <w:ilvl w:val="0"/>
          <w:numId w:val="11"/>
        </w:numPr>
      </w:pPr>
      <w:r>
        <w:t>Demonstrate creativity and innovation.</w:t>
      </w:r>
    </w:p>
    <w:p w:rsidR="001F402A" w:rsidRDefault="001F402A" w:rsidP="001F402A">
      <w:pPr>
        <w:pStyle w:val="ListParagraph"/>
        <w:numPr>
          <w:ilvl w:val="0"/>
          <w:numId w:val="11"/>
        </w:numPr>
      </w:pPr>
      <w:r>
        <w:t>Demonstrate integrity.</w:t>
      </w:r>
    </w:p>
    <w:p w:rsidR="00D90FF5" w:rsidRDefault="00D90FF5" w:rsidP="002E3BF6">
      <w:pPr>
        <w:pStyle w:val="ListParagraph"/>
        <w:numPr>
          <w:ilvl w:val="0"/>
          <w:numId w:val="11"/>
        </w:numPr>
      </w:pPr>
      <w:r>
        <w:t>Demonstrate work ethic.</w:t>
      </w:r>
    </w:p>
    <w:p w:rsidR="001F402A" w:rsidRDefault="001F402A" w:rsidP="001F402A">
      <w:pPr>
        <w:pStyle w:val="ListParagraph"/>
        <w:numPr>
          <w:ilvl w:val="0"/>
          <w:numId w:val="11"/>
        </w:numPr>
      </w:pPr>
      <w:r>
        <w:t>Demonstrate conflict-resolution skills.</w:t>
      </w:r>
    </w:p>
    <w:p w:rsidR="001F402A" w:rsidRDefault="001F402A" w:rsidP="001F402A">
      <w:pPr>
        <w:pStyle w:val="ListParagraph"/>
        <w:numPr>
          <w:ilvl w:val="0"/>
          <w:numId w:val="11"/>
        </w:numPr>
      </w:pPr>
      <w:r>
        <w:t>Demonstrate listening and speaking skills.</w:t>
      </w:r>
    </w:p>
    <w:p w:rsidR="00EC0E83" w:rsidRDefault="001F402A" w:rsidP="002E3BF6">
      <w:pPr>
        <w:pStyle w:val="ListParagraph"/>
        <w:numPr>
          <w:ilvl w:val="0"/>
          <w:numId w:val="11"/>
        </w:numPr>
      </w:pPr>
      <w:r>
        <w:t>Collaborate with team members.</w:t>
      </w:r>
    </w:p>
    <w:p w:rsidR="004F32A2" w:rsidRDefault="00661427" w:rsidP="002E3BF6">
      <w:pPr>
        <w:numPr>
          <w:ilvl w:val="0"/>
          <w:numId w:val="11"/>
        </w:numPr>
        <w:contextualSpacing/>
      </w:pPr>
      <w:r>
        <w:t xml:space="preserve">Demonstrate </w:t>
      </w:r>
      <w:r w:rsidR="001F402A">
        <w:t>big-picture thinking</w:t>
      </w:r>
      <w:r>
        <w:t>.</w:t>
      </w:r>
    </w:p>
    <w:p w:rsidR="005252E5" w:rsidRDefault="00794BFA" w:rsidP="00D90FF5">
      <w:pPr>
        <w:pStyle w:val="ListParagraph"/>
        <w:numPr>
          <w:ilvl w:val="0"/>
          <w:numId w:val="11"/>
        </w:numPr>
      </w:pPr>
      <w:r w:rsidRPr="00794BFA">
        <w:t xml:space="preserve">Demonstrate </w:t>
      </w:r>
      <w:r w:rsidR="001F402A">
        <w:t>career- and life-management skills</w:t>
      </w:r>
      <w:r w:rsidRPr="00794BFA">
        <w:t>.</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 xml:space="preserve">6.2, 6.6, 7.1, 7.2, 7.6, 8.2, 8.6, 9.1, </w:t>
      </w:r>
      <w:r w:rsidR="00C030DC">
        <w:t>9.5, 10.1, 10.5, 11.1, 11.5, 12.5</w:t>
      </w:r>
    </w:p>
    <w:p w:rsidR="00464F90" w:rsidRDefault="00464F90" w:rsidP="00703E44">
      <w:pPr>
        <w:ind w:left="720"/>
      </w:pPr>
      <w:r>
        <w:t xml:space="preserve">History and Social Science: </w:t>
      </w:r>
      <w:r w:rsidR="00ED0CC7">
        <w:t>USII.1, USII.9, CE.1, CE.3, CE.4, CE.14, WHII.1, WHII.14, VUS.1, VUS.14, GOVT.1, GOVT.3, GOVT.9, GOVT.16</w:t>
      </w:r>
    </w:p>
    <w:p w:rsidR="004F32A2" w:rsidRDefault="004F32A2"/>
    <w:p w:rsidR="004F32A2" w:rsidRDefault="00661427">
      <w:pPr>
        <w:pStyle w:val="Subtitle"/>
      </w:pPr>
      <w:r>
        <w:t>Instructional Steps:</w:t>
      </w:r>
    </w:p>
    <w:p w:rsidR="0067035E" w:rsidRDefault="000F79CF" w:rsidP="0067035E">
      <w:pPr>
        <w:pStyle w:val="ListParagraph"/>
        <w:numPr>
          <w:ilvl w:val="0"/>
          <w:numId w:val="21"/>
        </w:numPr>
        <w:spacing w:line="276" w:lineRule="auto"/>
      </w:pPr>
      <w:bookmarkStart w:id="1" w:name="_re73w7colfwk" w:colFirst="0" w:colLast="0"/>
      <w:bookmarkStart w:id="2" w:name="_g692azh9grg3" w:colFirst="0" w:colLast="0"/>
      <w:bookmarkStart w:id="3" w:name="_4c67i2rlvlhp" w:colFirst="0" w:colLast="0"/>
      <w:bookmarkEnd w:id="1"/>
      <w:bookmarkEnd w:id="2"/>
      <w:bookmarkEnd w:id="3"/>
      <w:r>
        <w:rPr>
          <w:b/>
          <w:i/>
        </w:rPr>
        <w:t xml:space="preserve">Introduce the lesson with </w:t>
      </w:r>
      <w:r w:rsidR="0067035E">
        <w:rPr>
          <w:b/>
          <w:i/>
        </w:rPr>
        <w:t xml:space="preserve">two terms: </w:t>
      </w:r>
      <w:r w:rsidR="0067035E" w:rsidRPr="0067035E">
        <w:rPr>
          <w:b/>
        </w:rPr>
        <w:t>disability</w:t>
      </w:r>
      <w:r w:rsidR="0067035E">
        <w:rPr>
          <w:b/>
          <w:i/>
        </w:rPr>
        <w:t xml:space="preserve"> and </w:t>
      </w:r>
      <w:r w:rsidR="0067035E" w:rsidRPr="0067035E">
        <w:rPr>
          <w:b/>
        </w:rPr>
        <w:t>sensitivity</w:t>
      </w:r>
      <w:r w:rsidR="0067035E">
        <w:rPr>
          <w:b/>
          <w:i/>
        </w:rPr>
        <w:t>.</w:t>
      </w:r>
      <w:r w:rsidR="0091407D">
        <w:rPr>
          <w:b/>
          <w:i/>
        </w:rPr>
        <w:t xml:space="preserve"> </w:t>
      </w:r>
      <w:r w:rsidR="0067035E">
        <w:t>Ask students to define and give examples of both of these terms. Explain that in the workforce and throughout life, we all interact with various people, some of whom have disabilit</w:t>
      </w:r>
      <w:r w:rsidR="00AF6AE0">
        <w:t>ies</w:t>
      </w:r>
      <w:r w:rsidR="0067035E">
        <w:t>—either seen or unseen (discuss the difference; give examples). Like all people, people with disabilit</w:t>
      </w:r>
      <w:r w:rsidR="00AF6AE0">
        <w:t>ies</w:t>
      </w:r>
      <w:r w:rsidR="0067035E">
        <w:t xml:space="preserve"> need to be treated respectfully and with sensitivity at school, at work, and in the community.</w:t>
      </w:r>
      <w:r w:rsidR="0091407D">
        <w:rPr>
          <w:b/>
          <w:i/>
        </w:rPr>
        <w:br/>
      </w:r>
      <w:r w:rsidR="0091407D">
        <w:br/>
      </w:r>
      <w:r w:rsidR="0067035E" w:rsidRPr="0067035E">
        <w:rPr>
          <w:b/>
        </w:rPr>
        <w:t>disability</w:t>
      </w:r>
      <w:r w:rsidR="0067035E">
        <w:t xml:space="preserve"> [dis-uh-</w:t>
      </w:r>
      <w:proofErr w:type="spellStart"/>
      <w:r w:rsidR="0067035E">
        <w:t>bil</w:t>
      </w:r>
      <w:proofErr w:type="spellEnd"/>
      <w:r w:rsidR="0067035E">
        <w:t>-</w:t>
      </w:r>
      <w:proofErr w:type="spellStart"/>
      <w:r w:rsidR="0067035E">
        <w:t>i</w:t>
      </w:r>
      <w:proofErr w:type="spellEnd"/>
      <w:r w:rsidR="0067035E">
        <w:t>-tee]</w:t>
      </w:r>
    </w:p>
    <w:p w:rsidR="0067035E" w:rsidRDefault="0067035E" w:rsidP="0067035E">
      <w:pPr>
        <w:pStyle w:val="ListParagraph"/>
        <w:spacing w:line="276" w:lineRule="auto"/>
      </w:pPr>
      <w:r>
        <w:t>(noun) a condition of having a physical or mental impairment</w:t>
      </w:r>
    </w:p>
    <w:p w:rsidR="0067035E" w:rsidRDefault="0067035E" w:rsidP="0067035E">
      <w:pPr>
        <w:pStyle w:val="ListParagraph"/>
        <w:spacing w:line="276" w:lineRule="auto"/>
      </w:pPr>
      <w:r>
        <w:lastRenderedPageBreak/>
        <w:br/>
      </w:r>
      <w:r w:rsidRPr="0067035E">
        <w:rPr>
          <w:b/>
        </w:rPr>
        <w:t>sensitivity</w:t>
      </w:r>
      <w:r>
        <w:t xml:space="preserve"> [</w:t>
      </w:r>
      <w:proofErr w:type="spellStart"/>
      <w:r>
        <w:t>sen</w:t>
      </w:r>
      <w:proofErr w:type="spellEnd"/>
      <w:r>
        <w:t>-</w:t>
      </w:r>
      <w:proofErr w:type="spellStart"/>
      <w:r>
        <w:t>si</w:t>
      </w:r>
      <w:proofErr w:type="spellEnd"/>
      <w:r>
        <w:t>-</w:t>
      </w:r>
      <w:proofErr w:type="spellStart"/>
      <w:r>
        <w:t>tiv</w:t>
      </w:r>
      <w:proofErr w:type="spellEnd"/>
      <w:r>
        <w:t>-</w:t>
      </w:r>
      <w:proofErr w:type="spellStart"/>
      <w:r>
        <w:t>i</w:t>
      </w:r>
      <w:proofErr w:type="spellEnd"/>
      <w:r>
        <w:t>-tee]</w:t>
      </w:r>
    </w:p>
    <w:p w:rsidR="001427FE" w:rsidRDefault="0067035E" w:rsidP="0067035E">
      <w:pPr>
        <w:pStyle w:val="ListParagraph"/>
        <w:spacing w:line="276" w:lineRule="auto"/>
      </w:pPr>
      <w:r>
        <w:t>(noun) an understanding of others’ feelings and emotions</w:t>
      </w:r>
      <w:r>
        <w:br/>
      </w:r>
    </w:p>
    <w:p w:rsidR="0058336B" w:rsidRDefault="0058336B" w:rsidP="0058336B">
      <w:pPr>
        <w:pStyle w:val="ListParagraph"/>
        <w:numPr>
          <w:ilvl w:val="0"/>
          <w:numId w:val="21"/>
        </w:numPr>
        <w:spacing w:line="276" w:lineRule="auto"/>
      </w:pPr>
      <w:r>
        <w:rPr>
          <w:b/>
          <w:i/>
        </w:rPr>
        <w:t xml:space="preserve">Read (individually or in </w:t>
      </w:r>
      <w:r w:rsidR="002D6B46">
        <w:rPr>
          <w:b/>
          <w:i/>
        </w:rPr>
        <w:t>pairs</w:t>
      </w:r>
      <w:r>
        <w:rPr>
          <w:b/>
          <w:i/>
        </w:rPr>
        <w:t>) the following document:</w:t>
      </w:r>
      <w:r>
        <w:t xml:space="preserve"> </w:t>
      </w:r>
      <w:r w:rsidR="00BC5C4B">
        <w:br/>
      </w:r>
    </w:p>
    <w:p w:rsidR="0058336B" w:rsidRDefault="008C0DCE" w:rsidP="0058336B">
      <w:pPr>
        <w:pStyle w:val="ListParagraph"/>
        <w:spacing w:line="276" w:lineRule="auto"/>
      </w:pPr>
      <w:hyperlink r:id="rId10" w:history="1">
        <w:r w:rsidR="0058336B" w:rsidRPr="0058336B">
          <w:rPr>
            <w:rStyle w:val="Hyperlink"/>
          </w:rPr>
          <w:t xml:space="preserve">Disability Etiquette: Tips </w:t>
        </w:r>
        <w:r w:rsidR="001F402A">
          <w:rPr>
            <w:rStyle w:val="Hyperlink"/>
          </w:rPr>
          <w:t>o</w:t>
        </w:r>
        <w:r w:rsidR="0058336B" w:rsidRPr="0058336B">
          <w:rPr>
            <w:rStyle w:val="Hyperlink"/>
          </w:rPr>
          <w:t xml:space="preserve">n Interacting </w:t>
        </w:r>
        <w:r w:rsidR="001F402A">
          <w:rPr>
            <w:rStyle w:val="Hyperlink"/>
          </w:rPr>
          <w:t>w</w:t>
        </w:r>
        <w:r w:rsidR="0058336B" w:rsidRPr="0058336B">
          <w:rPr>
            <w:rStyle w:val="Hyperlink"/>
          </w:rPr>
          <w:t xml:space="preserve">ith People </w:t>
        </w:r>
        <w:r w:rsidR="001F402A">
          <w:rPr>
            <w:rStyle w:val="Hyperlink"/>
          </w:rPr>
          <w:t>w</w:t>
        </w:r>
        <w:r w:rsidR="0058336B" w:rsidRPr="0058336B">
          <w:rPr>
            <w:rStyle w:val="Hyperlink"/>
          </w:rPr>
          <w:t>ith Disabilities</w:t>
        </w:r>
      </w:hyperlink>
      <w:r w:rsidR="0058336B">
        <w:t xml:space="preserve"> (</w:t>
      </w:r>
      <w:hyperlink r:id="rId11" w:history="1">
        <w:r w:rsidR="0058336B" w:rsidRPr="00336989">
          <w:rPr>
            <w:rStyle w:val="Hyperlink"/>
          </w:rPr>
          <w:t>http://www.unitedspinal.org/pdf/DisabilityEtiquette.pdf</w:t>
        </w:r>
      </w:hyperlink>
      <w:r w:rsidR="0058336B">
        <w:t>), United Spinal Association, 2015.</w:t>
      </w:r>
      <w:r w:rsidR="0058336B">
        <w:br/>
      </w:r>
    </w:p>
    <w:p w:rsidR="005D2395" w:rsidRDefault="0058336B" w:rsidP="00C54C98">
      <w:pPr>
        <w:pStyle w:val="ListParagraph"/>
        <w:spacing w:line="276" w:lineRule="auto"/>
      </w:pPr>
      <w:r>
        <w:t xml:space="preserve">Explain to students that this is an overview that will help them become more sensitive to people with disabilities. Encourage students to highlight and make notes while reading. </w:t>
      </w:r>
      <w:r w:rsidR="00AF6AE0">
        <w:t>Ask</w:t>
      </w:r>
      <w:r w:rsidR="00C54C98">
        <w:t xml:space="preserve">: </w:t>
      </w:r>
      <w:r w:rsidR="00AF6AE0">
        <w:t>“</w:t>
      </w:r>
      <w:r w:rsidR="00C54C98">
        <w:t>What are appropriate ways to communicate sensitively with people with disabilities? What are some ways to support and encourage others to sensitively communicate?</w:t>
      </w:r>
      <w:r w:rsidR="00AF6AE0">
        <w:t>”</w:t>
      </w:r>
      <w:r w:rsidR="005D2395">
        <w:br/>
      </w:r>
    </w:p>
    <w:p w:rsidR="00680D4D" w:rsidRDefault="00BC5C4B" w:rsidP="00892984">
      <w:pPr>
        <w:pStyle w:val="ListParagraph"/>
        <w:numPr>
          <w:ilvl w:val="0"/>
          <w:numId w:val="21"/>
        </w:numPr>
        <w:spacing w:line="276" w:lineRule="auto"/>
      </w:pPr>
      <w:r>
        <w:rPr>
          <w:b/>
          <w:i/>
        </w:rPr>
        <w:t>Introduce research.</w:t>
      </w:r>
      <w:r w:rsidR="005D63EB">
        <w:t xml:space="preserve"> </w:t>
      </w:r>
      <w:r w:rsidR="0058336B">
        <w:t>After reading “</w:t>
      </w:r>
      <w:r w:rsidR="0058336B" w:rsidRPr="0058336B">
        <w:t xml:space="preserve">Disability Etiquette: Tips </w:t>
      </w:r>
      <w:r w:rsidR="001F402A">
        <w:t>o</w:t>
      </w:r>
      <w:r w:rsidR="0058336B" w:rsidRPr="0058336B">
        <w:t xml:space="preserve">n Interacting </w:t>
      </w:r>
      <w:r w:rsidR="001F402A">
        <w:t>w</w:t>
      </w:r>
      <w:r w:rsidR="0058336B" w:rsidRPr="0058336B">
        <w:t xml:space="preserve">ith People </w:t>
      </w:r>
      <w:r w:rsidR="001F402A">
        <w:t>w</w:t>
      </w:r>
      <w:r w:rsidR="0058336B" w:rsidRPr="0058336B">
        <w:t>ith Disabilities</w:t>
      </w:r>
      <w:r w:rsidR="0058336B">
        <w:t>,” assign each pair of students</w:t>
      </w:r>
      <w:r w:rsidR="00892984">
        <w:t xml:space="preserve"> one of the disabilities listed below (others may be substituted as appropriate)</w:t>
      </w:r>
      <w:r w:rsidR="0058336B">
        <w:t xml:space="preserve">. Explain that each student </w:t>
      </w:r>
      <w:r w:rsidR="00892984">
        <w:t xml:space="preserve">pair </w:t>
      </w:r>
      <w:r w:rsidR="0058336B">
        <w:t xml:space="preserve">will </w:t>
      </w:r>
      <w:r w:rsidR="00E354A8">
        <w:t>use “</w:t>
      </w:r>
      <w:r w:rsidR="00E354A8" w:rsidRPr="0058336B">
        <w:t xml:space="preserve">Disability Etiquette: Tips </w:t>
      </w:r>
      <w:r w:rsidR="001F402A">
        <w:t>o</w:t>
      </w:r>
      <w:r w:rsidR="00E354A8" w:rsidRPr="0058336B">
        <w:t xml:space="preserve">n Interacting </w:t>
      </w:r>
      <w:r w:rsidR="001F402A">
        <w:t>w</w:t>
      </w:r>
      <w:r w:rsidR="00E354A8" w:rsidRPr="0058336B">
        <w:t xml:space="preserve">ith People </w:t>
      </w:r>
      <w:r w:rsidR="001F402A">
        <w:t>w</w:t>
      </w:r>
      <w:r w:rsidR="00E354A8" w:rsidRPr="0058336B">
        <w:t>ith Disabilities</w:t>
      </w:r>
      <w:r w:rsidR="00E354A8">
        <w:t xml:space="preserve">,” as well as other Internet resources, to </w:t>
      </w:r>
      <w:r w:rsidR="002D6B46">
        <w:t>research the</w:t>
      </w:r>
      <w:r w:rsidR="00892984">
        <w:t xml:space="preserve"> disability and answer questions on the</w:t>
      </w:r>
      <w:r w:rsidR="00C54C98">
        <w:t xml:space="preserve"> activity entitled</w:t>
      </w:r>
      <w:r w:rsidR="00892984">
        <w:t xml:space="preserve"> </w:t>
      </w:r>
      <w:r w:rsidR="00A36DD9">
        <w:t>“</w:t>
      </w:r>
      <w:hyperlink r:id="rId12" w:history="1">
        <w:r w:rsidR="00892984" w:rsidRPr="00892984">
          <w:rPr>
            <w:rStyle w:val="Hyperlink"/>
          </w:rPr>
          <w:t>Teaching Tolerance: Researching Disabilities</w:t>
        </w:r>
      </w:hyperlink>
      <w:r w:rsidR="00A36DD9" w:rsidRPr="00A36DD9">
        <w:rPr>
          <w:rStyle w:val="Hyperlink"/>
          <w:color w:val="auto"/>
          <w:u w:val="none"/>
        </w:rPr>
        <w:t>”</w:t>
      </w:r>
      <w:r w:rsidR="00892984" w:rsidRPr="00A36DD9">
        <w:rPr>
          <w:color w:val="auto"/>
        </w:rPr>
        <w:t xml:space="preserve"> </w:t>
      </w:r>
      <w:r w:rsidR="00892984">
        <w:t>(</w:t>
      </w:r>
      <w:hyperlink r:id="rId13" w:history="1">
        <w:r w:rsidR="00892984" w:rsidRPr="003707F3">
          <w:rPr>
            <w:rStyle w:val="Hyperlink"/>
          </w:rPr>
          <w:t>http://www.tolerance.org/sites/default/files/general/tt_researching_disabilities.pdf</w:t>
        </w:r>
      </w:hyperlink>
      <w:r w:rsidR="00C54C98">
        <w:t>)</w:t>
      </w:r>
      <w:r w:rsidR="00892984">
        <w:t xml:space="preserve">. </w:t>
      </w:r>
      <w:r w:rsidR="0003328E">
        <w:t>Then each student pair will</w:t>
      </w:r>
      <w:r w:rsidR="00E354A8">
        <w:t xml:space="preserve"> create </w:t>
      </w:r>
      <w:r w:rsidR="00A36DD9">
        <w:t>an electronic</w:t>
      </w:r>
      <w:r w:rsidR="0058336B">
        <w:t xml:space="preserve"> slide</w:t>
      </w:r>
      <w:r w:rsidR="00A36DD9">
        <w:t xml:space="preserve"> presentation (e.g., PowerPoint, Google Slides)</w:t>
      </w:r>
      <w:r w:rsidR="0058336B">
        <w:t>.</w:t>
      </w:r>
      <w:r w:rsidR="00892984">
        <w:t xml:space="preserve"> </w:t>
      </w:r>
      <w:r w:rsidR="00E354A8">
        <w:t>Each slide should include a title, an appropriate image, at least three facts about the disability, and at least two tips for successfully/appropriately interacting with a person who has that disability.</w:t>
      </w:r>
    </w:p>
    <w:p w:rsidR="00892984" w:rsidRDefault="00892984" w:rsidP="00892984">
      <w:pPr>
        <w:spacing w:line="276" w:lineRule="auto"/>
        <w:ind w:left="720"/>
      </w:pPr>
    </w:p>
    <w:p w:rsidR="00892984" w:rsidRDefault="00E354A8" w:rsidP="00892984">
      <w:pPr>
        <w:spacing w:line="276" w:lineRule="auto"/>
        <w:ind w:left="720"/>
      </w:pPr>
      <w:r>
        <w:t>blind</w:t>
      </w:r>
      <w:r w:rsidR="00A36DD9">
        <w:t>ness</w:t>
      </w:r>
      <w:r>
        <w:t>/low vision</w:t>
      </w:r>
      <w:r>
        <w:tab/>
      </w:r>
      <w:r>
        <w:tab/>
        <w:t>hearing loss/deafness</w:t>
      </w:r>
      <w:r>
        <w:br/>
        <w:t>speech disabilities</w:t>
      </w:r>
      <w:r>
        <w:tab/>
      </w:r>
      <w:r>
        <w:tab/>
        <w:t>short stature</w:t>
      </w:r>
      <w:r w:rsidR="00A36DD9">
        <w:t xml:space="preserve"> (i.e., dwarfism)</w:t>
      </w:r>
      <w:r>
        <w:br/>
        <w:t>cerebral palsy</w:t>
      </w:r>
      <w:r>
        <w:tab/>
      </w:r>
      <w:r>
        <w:tab/>
      </w:r>
      <w:r>
        <w:tab/>
        <w:t>Tourette syndrome</w:t>
      </w:r>
      <w:r>
        <w:br/>
        <w:t>epilepsy/seizure disorder</w:t>
      </w:r>
      <w:r>
        <w:tab/>
        <w:t>chemical sensitivity/respiratory disability</w:t>
      </w:r>
      <w:r>
        <w:br/>
        <w:t>HIV/AIDS</w:t>
      </w:r>
      <w:r>
        <w:tab/>
      </w:r>
      <w:r>
        <w:tab/>
      </w:r>
      <w:r>
        <w:tab/>
        <w:t>psychiatric disability/mental illness</w:t>
      </w:r>
      <w:r>
        <w:br/>
        <w:t>brain injury</w:t>
      </w:r>
      <w:r>
        <w:tab/>
      </w:r>
      <w:r>
        <w:tab/>
      </w:r>
      <w:r>
        <w:tab/>
        <w:t>developmental disabilities</w:t>
      </w:r>
      <w:r>
        <w:br/>
        <w:t>autism</w:t>
      </w:r>
      <w:r>
        <w:tab/>
      </w:r>
      <w:r>
        <w:tab/>
      </w:r>
      <w:r>
        <w:tab/>
      </w:r>
      <w:r>
        <w:tab/>
        <w:t>learning disabilities</w:t>
      </w:r>
      <w:r>
        <w:br/>
        <w:t>Down syndrome</w:t>
      </w:r>
      <w:r>
        <w:tab/>
      </w:r>
      <w:r>
        <w:tab/>
      </w:r>
      <w:r>
        <w:tab/>
      </w:r>
    </w:p>
    <w:p w:rsidR="00BC5C4B" w:rsidRDefault="00BC5C4B" w:rsidP="00BC5C4B">
      <w:pPr>
        <w:pStyle w:val="ListParagraph"/>
        <w:spacing w:line="276" w:lineRule="auto"/>
      </w:pPr>
    </w:p>
    <w:p w:rsidR="00B145B7" w:rsidRPr="00B145B7" w:rsidRDefault="00BE476F" w:rsidP="00A36DD9">
      <w:pPr>
        <w:pStyle w:val="ListParagraph"/>
        <w:numPr>
          <w:ilvl w:val="0"/>
          <w:numId w:val="21"/>
        </w:numPr>
        <w:spacing w:line="276" w:lineRule="auto"/>
      </w:pPr>
      <w:r w:rsidRPr="00A36DD9">
        <w:rPr>
          <w:b/>
          <w:i/>
        </w:rPr>
        <w:t xml:space="preserve">Compile </w:t>
      </w:r>
      <w:r w:rsidR="00A36DD9" w:rsidRPr="00A36DD9">
        <w:rPr>
          <w:b/>
          <w:i/>
        </w:rPr>
        <w:t>electronic slide presentation (e.g., PowerPoint, Google Slides).</w:t>
      </w:r>
      <w:r w:rsidR="00A36DD9" w:rsidRPr="00A36DD9">
        <w:rPr>
          <w:b/>
        </w:rPr>
        <w:t xml:space="preserve"> </w:t>
      </w:r>
      <w:r>
        <w:t>Once the slides are completed and compiled, work as a class to create a cover slide</w:t>
      </w:r>
      <w:r w:rsidR="00C54C98">
        <w:t xml:space="preserve">, </w:t>
      </w:r>
      <w:r>
        <w:t xml:space="preserve">an introductory slide, </w:t>
      </w:r>
      <w:r w:rsidR="00C54C98">
        <w:t xml:space="preserve">and a concluding slide </w:t>
      </w:r>
      <w:r>
        <w:t xml:space="preserve">based upon the reading in “Disability Etiquette: Tips </w:t>
      </w:r>
      <w:r w:rsidR="001F402A">
        <w:t>o</w:t>
      </w:r>
      <w:r>
        <w:t xml:space="preserve">n Interacting </w:t>
      </w:r>
      <w:r w:rsidR="001F402A">
        <w:t>w</w:t>
      </w:r>
      <w:r>
        <w:t xml:space="preserve">ith People </w:t>
      </w:r>
      <w:r w:rsidR="001F402A">
        <w:t>w</w:t>
      </w:r>
      <w:r>
        <w:t xml:space="preserve">ith Disabilities.” Display the slideshow, with each student </w:t>
      </w:r>
      <w:r w:rsidR="002D6B46">
        <w:t xml:space="preserve">pair </w:t>
      </w:r>
      <w:r>
        <w:t>taking a turn to</w:t>
      </w:r>
      <w:r w:rsidR="00C937CC">
        <w:t xml:space="preserve"> explain the slide </w:t>
      </w:r>
      <w:r w:rsidR="00A36DD9">
        <w:t>they created</w:t>
      </w:r>
      <w:r w:rsidR="00C937CC">
        <w:t>.</w:t>
      </w:r>
    </w:p>
    <w:p w:rsidR="00B145B7" w:rsidRDefault="00B145B7" w:rsidP="00B145B7">
      <w:pPr>
        <w:pStyle w:val="ListParagraph"/>
      </w:pPr>
    </w:p>
    <w:p w:rsidR="00BA24D3" w:rsidRDefault="002D6B46" w:rsidP="00B145B7">
      <w:pPr>
        <w:pStyle w:val="ListParagraph"/>
        <w:numPr>
          <w:ilvl w:val="0"/>
          <w:numId w:val="21"/>
        </w:numPr>
        <w:spacing w:line="276" w:lineRule="auto"/>
      </w:pPr>
      <w:r w:rsidRPr="002D6B46">
        <w:rPr>
          <w:b/>
          <w:i/>
        </w:rPr>
        <w:t>Share/present slide show.</w:t>
      </w:r>
      <w:r>
        <w:t xml:space="preserve"> Arrange to present the information learned throughout this research to students from another class. Discuss the question: </w:t>
      </w:r>
      <w:r w:rsidR="00A36DD9">
        <w:t>“</w:t>
      </w:r>
      <w:r>
        <w:t>How is this information relevant regardless of a person’s career goals?</w:t>
      </w:r>
      <w:r w:rsidR="00A36DD9">
        <w:t>”</w:t>
      </w:r>
      <w:r w:rsidR="00B64991">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lastRenderedPageBreak/>
        <w:t xml:space="preserve">Assess student understanding as demonstrated </w:t>
      </w:r>
      <w:r w:rsidR="00C54C98">
        <w:t xml:space="preserve">in the answers </w:t>
      </w:r>
      <w:r>
        <w:t xml:space="preserve">on </w:t>
      </w:r>
      <w:r w:rsidR="00865399" w:rsidRPr="00865399">
        <w:t>the</w:t>
      </w:r>
      <w:r w:rsidR="00C54C98">
        <w:t xml:space="preserve"> activity entitled</w:t>
      </w:r>
      <w:r w:rsidR="00865399" w:rsidRPr="00865399">
        <w:t xml:space="preserve"> </w:t>
      </w:r>
      <w:r w:rsidR="00A36DD9">
        <w:t>“</w:t>
      </w:r>
      <w:r w:rsidR="00865399" w:rsidRPr="00865399">
        <w:t>Teaching Tolerance: Researching Disabilities</w:t>
      </w:r>
      <w:r w:rsidR="00865399">
        <w:t>.</w:t>
      </w:r>
      <w:r w:rsidR="00A36DD9">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A36DD9">
        <w:t>by the electronic</w:t>
      </w:r>
      <w:r w:rsidR="00865399">
        <w:t xml:space="preserve"> slide</w:t>
      </w:r>
      <w:r w:rsidR="00A36DD9">
        <w:t xml:space="preserve"> presentation</w:t>
      </w:r>
      <w:r w:rsidR="00865399">
        <w:t xml:space="preserve"> created.</w:t>
      </w:r>
      <w:r w:rsidR="00C03A96">
        <w:t xml:space="preserve"> </w:t>
      </w:r>
      <w:r>
        <w:t xml:space="preserve"> </w:t>
      </w:r>
      <w:r>
        <w:br/>
      </w:r>
    </w:p>
    <w:p w:rsidR="004F32A2" w:rsidRDefault="00661427">
      <w:pPr>
        <w:pStyle w:val="Subtitle"/>
      </w:pPr>
      <w:r>
        <w:t>Options for Adaptation/Differentiation:</w:t>
      </w:r>
    </w:p>
    <w:p w:rsidR="004F32A2" w:rsidRDefault="00661427" w:rsidP="0003328E">
      <w:pPr>
        <w:pStyle w:val="ListParagraph"/>
        <w:numPr>
          <w:ilvl w:val="0"/>
          <w:numId w:val="14"/>
        </w:numPr>
      </w:pPr>
      <w:r>
        <w:t>To offer scaffolding to students</w:t>
      </w:r>
      <w:r w:rsidR="004A7123">
        <w:t xml:space="preserve"> and to complete this activity in a shorter time frame</w:t>
      </w:r>
      <w:r>
        <w:t xml:space="preserve">, </w:t>
      </w:r>
      <w:r w:rsidR="0003328E">
        <w:t xml:space="preserve">as a whole group read only the introduction and the cartoon entries in </w:t>
      </w:r>
      <w:r w:rsidR="0003328E" w:rsidRPr="0003328E">
        <w:t xml:space="preserve">“Disability Etiquette: Tips </w:t>
      </w:r>
      <w:r w:rsidR="001F402A">
        <w:t>o</w:t>
      </w:r>
      <w:r w:rsidR="0003328E" w:rsidRPr="0003328E">
        <w:t>n Interactin</w:t>
      </w:r>
      <w:r w:rsidR="0003328E">
        <w:t xml:space="preserve">g </w:t>
      </w:r>
      <w:r w:rsidR="001F402A">
        <w:t>w</w:t>
      </w:r>
      <w:r w:rsidR="0003328E">
        <w:t xml:space="preserve">ith People </w:t>
      </w:r>
      <w:r w:rsidR="001F402A">
        <w:t>w</w:t>
      </w:r>
      <w:r w:rsidR="0003328E">
        <w:t>ith Disabilities</w:t>
      </w:r>
      <w:r w:rsidR="0003328E" w:rsidRPr="0003328E">
        <w:t>”</w:t>
      </w:r>
      <w:r w:rsidR="0003328E">
        <w:t xml:space="preserve"> prior to beginning research.</w:t>
      </w:r>
    </w:p>
    <w:p w:rsidR="0003328E" w:rsidRDefault="0003328E" w:rsidP="0003328E">
      <w:pPr>
        <w:pStyle w:val="ListParagraph"/>
        <w:numPr>
          <w:ilvl w:val="0"/>
          <w:numId w:val="14"/>
        </w:numPr>
      </w:pPr>
      <w:r>
        <w:t>To offer an extension opportunity, ask students to use the tips they’ve discovered through their research to create an awareness campaign related to disability etiquette. Student products may include a bulletin board display, posters, or public service announcements recorded on video and shared with the school.</w:t>
      </w:r>
    </w:p>
    <w:p w:rsidR="00C937CC" w:rsidRDefault="00C937CC">
      <w:pPr>
        <w:pStyle w:val="Subtitle"/>
      </w:pPr>
    </w:p>
    <w:p w:rsidR="004F32A2" w:rsidRDefault="00661427">
      <w:pPr>
        <w:pStyle w:val="Subtitle"/>
      </w:pPr>
      <w:r>
        <w:t xml:space="preserve">Suggestions for Follow-up: </w:t>
      </w:r>
    </w:p>
    <w:p w:rsidR="00865399" w:rsidRDefault="00865399" w:rsidP="00865399">
      <w:pPr>
        <w:pStyle w:val="ListParagraph"/>
        <w:numPr>
          <w:ilvl w:val="0"/>
          <w:numId w:val="15"/>
        </w:numPr>
      </w:pPr>
      <w:r w:rsidRPr="00865399">
        <w:t>Research the history of the rights of people with disabilities</w:t>
      </w:r>
      <w:r>
        <w:t xml:space="preserve"> and the </w:t>
      </w:r>
      <w:r w:rsidRPr="00865399">
        <w:t>Americans with Disabilities Act of 1990 (ADA)</w:t>
      </w:r>
      <w:r>
        <w:t>.</w:t>
      </w:r>
      <w:r w:rsidRPr="00865399">
        <w:t xml:space="preserve"> Share your findings with your class.</w:t>
      </w:r>
      <w:r>
        <w:t xml:space="preserve"> </w:t>
      </w:r>
    </w:p>
    <w:p w:rsidR="00865399" w:rsidRDefault="00865399" w:rsidP="00865399">
      <w:pPr>
        <w:pStyle w:val="ListParagraph"/>
        <w:numPr>
          <w:ilvl w:val="0"/>
          <w:numId w:val="15"/>
        </w:numPr>
      </w:pPr>
      <w:r>
        <w:t xml:space="preserve">Delve deeper into the “Disability Etiquette: Tips on Interacting </w:t>
      </w:r>
      <w:r w:rsidR="001F402A">
        <w:t>w</w:t>
      </w:r>
      <w:r>
        <w:t xml:space="preserve">ith People </w:t>
      </w:r>
      <w:r w:rsidR="001F402A">
        <w:t>w</w:t>
      </w:r>
      <w:r>
        <w:t xml:space="preserve">ith Disabilities” document by completing a web quest entitled </w:t>
      </w:r>
      <w:hyperlink r:id="rId14" w:history="1">
        <w:r w:rsidRPr="00865399">
          <w:rPr>
            <w:rStyle w:val="Hyperlink"/>
          </w:rPr>
          <w:t>Teaching Tolerance: Understanding Hidden Disabilities</w:t>
        </w:r>
      </w:hyperlink>
      <w:r>
        <w:t xml:space="preserve"> (</w:t>
      </w:r>
      <w:hyperlink r:id="rId15" w:history="1">
        <w:r w:rsidRPr="003707F3">
          <w:rPr>
            <w:rStyle w:val="Hyperlink"/>
          </w:rPr>
          <w:t>http://www.tolerance.org/sites/default/files/general/tt_understanding_hidden_disabilities.pdf</w:t>
        </w:r>
      </w:hyperlink>
      <w:r>
        <w:t xml:space="preserve">). </w:t>
      </w:r>
    </w:p>
    <w:p w:rsidR="004F32A2" w:rsidRDefault="004F32A2"/>
    <w:p w:rsidR="004F32A2" w:rsidRDefault="00661427">
      <w:pPr>
        <w:pStyle w:val="Subtitle"/>
      </w:pPr>
      <w:r>
        <w:t>Teacher Resources</w:t>
      </w:r>
    </w:p>
    <w:p w:rsidR="00776F42" w:rsidRDefault="008C0DCE" w:rsidP="00776F42">
      <w:hyperlink r:id="rId16" w:history="1">
        <w:r w:rsidR="00776F42" w:rsidRPr="00776F42">
          <w:rPr>
            <w:rStyle w:val="Hyperlink"/>
          </w:rPr>
          <w:t>A More Perfect Union</w:t>
        </w:r>
      </w:hyperlink>
      <w:r w:rsidR="00776F42">
        <w:t xml:space="preserve"> (</w:t>
      </w:r>
      <w:hyperlink r:id="rId17" w:history="1">
        <w:r w:rsidR="00776F42" w:rsidRPr="00F638E4">
          <w:rPr>
            <w:rStyle w:val="Hyperlink"/>
          </w:rPr>
          <w:t>http://www.pbs.org/ampu/index.html</w:t>
        </w:r>
      </w:hyperlink>
      <w:r w:rsidR="00776F42">
        <w:t>), PBS.</w:t>
      </w:r>
    </w:p>
    <w:p w:rsidR="002400DD" w:rsidRDefault="002400DD" w:rsidP="00776F42"/>
    <w:p w:rsidR="002400DD" w:rsidRDefault="008C0DCE" w:rsidP="00776F42">
      <w:hyperlink r:id="rId18" w:history="1">
        <w:r w:rsidR="002400DD" w:rsidRPr="002400DD">
          <w:rPr>
            <w:rStyle w:val="Hyperlink"/>
          </w:rPr>
          <w:t>Communicating with and About People with Disabilities</w:t>
        </w:r>
      </w:hyperlink>
      <w:r w:rsidR="002400DD">
        <w:t xml:space="preserve"> (</w:t>
      </w:r>
      <w:hyperlink r:id="rId19" w:history="1">
        <w:r w:rsidR="002400DD">
          <w:rPr>
            <w:rStyle w:val="Hyperlink"/>
          </w:rPr>
          <w:t>https://www.dol.gov/odep/pubs/fact/effectiveinteraction.htm</w:t>
        </w:r>
      </w:hyperlink>
      <w:r w:rsidR="002400DD">
        <w:t>)</w:t>
      </w:r>
      <w:r w:rsidR="002400DD" w:rsidRPr="002400DD">
        <w:t>, U.S. Department of Labor, Office of Disability Employment Policy</w:t>
      </w:r>
    </w:p>
    <w:p w:rsidR="00776F42" w:rsidRPr="00776F42" w:rsidRDefault="00776F42" w:rsidP="00776F42"/>
    <w:p w:rsidR="0003328E" w:rsidRDefault="008C0DCE" w:rsidP="0003328E">
      <w:hyperlink r:id="rId20" w:history="1">
        <w:r w:rsidR="0003328E" w:rsidRPr="00767B49">
          <w:rPr>
            <w:rStyle w:val="Hyperlink"/>
          </w:rPr>
          <w:t xml:space="preserve">Disability Etiquette: Tips on Interacting </w:t>
        </w:r>
        <w:r w:rsidR="001F402A">
          <w:rPr>
            <w:rStyle w:val="Hyperlink"/>
          </w:rPr>
          <w:t>w</w:t>
        </w:r>
        <w:r w:rsidR="0003328E" w:rsidRPr="00767B49">
          <w:rPr>
            <w:rStyle w:val="Hyperlink"/>
          </w:rPr>
          <w:t xml:space="preserve">ith People </w:t>
        </w:r>
        <w:r w:rsidR="001F402A">
          <w:rPr>
            <w:rStyle w:val="Hyperlink"/>
          </w:rPr>
          <w:t>w</w:t>
        </w:r>
        <w:r w:rsidR="0003328E" w:rsidRPr="00767B49">
          <w:rPr>
            <w:rStyle w:val="Hyperlink"/>
          </w:rPr>
          <w:t>ith Disabilities</w:t>
        </w:r>
      </w:hyperlink>
      <w:r w:rsidR="0003328E">
        <w:t xml:space="preserve"> </w:t>
      </w:r>
      <w:r w:rsidR="00767B49">
        <w:t>(</w:t>
      </w:r>
      <w:hyperlink r:id="rId21" w:history="1">
        <w:r w:rsidR="00767B49" w:rsidRPr="003707F3">
          <w:rPr>
            <w:rStyle w:val="Hyperlink"/>
          </w:rPr>
          <w:t>http://www.unitedspinal.org/pdf/DisabilityEtiquette.pdf</w:t>
        </w:r>
      </w:hyperlink>
      <w:r w:rsidR="00767B49">
        <w:t>)</w:t>
      </w:r>
      <w:r w:rsidR="0003328E">
        <w:t>,</w:t>
      </w:r>
      <w:r w:rsidR="00767B49">
        <w:t xml:space="preserve"> United Spinal Association</w:t>
      </w:r>
      <w:r w:rsidR="0003328E">
        <w:t>.</w:t>
      </w:r>
    </w:p>
    <w:p w:rsidR="00046F99" w:rsidRDefault="00046F99" w:rsidP="0003328E"/>
    <w:p w:rsidR="00046F99" w:rsidRDefault="008C0DCE" w:rsidP="0003328E">
      <w:hyperlink r:id="rId22" w:history="1">
        <w:r w:rsidR="00046F99" w:rsidRPr="00046F99">
          <w:rPr>
            <w:rStyle w:val="Hyperlink"/>
          </w:rPr>
          <w:t>Effective Interaction: Communicating With and About People with Disabilities in the Workplace</w:t>
        </w:r>
      </w:hyperlink>
      <w:r w:rsidR="00046F99">
        <w:t xml:space="preserve"> (</w:t>
      </w:r>
      <w:hyperlink r:id="rId23" w:history="1">
        <w:r w:rsidR="00046F99" w:rsidRPr="00C17088">
          <w:rPr>
            <w:rStyle w:val="Hyperlink"/>
          </w:rPr>
          <w:t>https://www.dol.gov/odep/pubs/fact/effectiveinteraction.htm</w:t>
        </w:r>
      </w:hyperlink>
      <w:r w:rsidR="00046F99">
        <w:t>), U.S. Department of Labor, Office of Disability Employment Policy.</w:t>
      </w:r>
    </w:p>
    <w:p w:rsidR="0003328E" w:rsidRDefault="0003328E"/>
    <w:p w:rsidR="004F32A2" w:rsidRDefault="008C0DCE">
      <w:hyperlink r:id="rId24">
        <w:r w:rsidR="00661427">
          <w:rPr>
            <w:color w:val="0563C1"/>
            <w:u w:val="single"/>
          </w:rPr>
          <w:t>Soft Skills to Pay the Bills — Mastering Soft Skills for Workplace Success</w:t>
        </w:r>
      </w:hyperlink>
      <w:r w:rsidR="00661427">
        <w:t xml:space="preserve"> (</w:t>
      </w:r>
      <w:hyperlink r:id="rId25">
        <w:r w:rsidR="00661427">
          <w:rPr>
            <w:color w:val="0563C1"/>
            <w:u w:val="single"/>
          </w:rPr>
          <w:t>https://www.dol.gov/odep/topics/youth/softskills/</w:t>
        </w:r>
      </w:hyperlink>
      <w:r w:rsidR="00661427">
        <w:t>), U.S</w:t>
      </w:r>
      <w:r w:rsidR="002F12B2">
        <w:t>.</w:t>
      </w:r>
      <w:r w:rsidR="00661427">
        <w:t xml:space="preserve"> Department of Labor, Office of Disability Employment Policy.</w:t>
      </w:r>
    </w:p>
    <w:p w:rsidR="00BC5C4B" w:rsidRDefault="00BC5C4B"/>
    <w:p w:rsidR="00BC5C4B" w:rsidRDefault="008C0DCE">
      <w:hyperlink r:id="rId26" w:history="1">
        <w:r w:rsidR="00BC5C4B" w:rsidRPr="00E83E6E">
          <w:rPr>
            <w:rStyle w:val="Hyperlink"/>
          </w:rPr>
          <w:t>Teaching Tolerance</w:t>
        </w:r>
      </w:hyperlink>
      <w:r w:rsidR="00BC5C4B">
        <w:t xml:space="preserve"> (</w:t>
      </w:r>
      <w:hyperlink r:id="rId27" w:history="1">
        <w:r w:rsidR="00BC5C4B" w:rsidRPr="00115034">
          <w:rPr>
            <w:rStyle w:val="Hyperlink"/>
          </w:rPr>
          <w:t>http://www.tolerance.org/lesson/editorial-cartoon-equal-opportunity</w:t>
        </w:r>
      </w:hyperlink>
      <w:r w:rsidR="00BC5C4B">
        <w:t>), Southern Poverty Law Center.</w:t>
      </w:r>
    </w:p>
    <w:p w:rsidR="0003328E" w:rsidRDefault="0003328E"/>
    <w:p w:rsidR="004F32A2" w:rsidRDefault="008C0DCE">
      <w:hyperlink r:id="rId28">
        <w:r w:rsidR="00661427">
          <w:rPr>
            <w:color w:val="0563C1"/>
            <w:u w:val="single"/>
          </w:rPr>
          <w:t>Workplace Readiness Skills (WRS) Assessment: Virginia Overview</w:t>
        </w:r>
      </w:hyperlink>
      <w:r w:rsidR="00661427">
        <w:t xml:space="preserve"> (</w:t>
      </w:r>
      <w:hyperlink r:id="rId29">
        <w:r w:rsidR="00661427">
          <w:rPr>
            <w:color w:val="0563C1"/>
            <w:u w:val="single"/>
          </w:rPr>
          <w:t>https://www.ctecs.org/virginia/virginia-overview</w:t>
        </w:r>
      </w:hyperlink>
      <w:r w:rsidR="00661427">
        <w:t xml:space="preserve">), Career and Technical Education Consortium of States (CTECS). </w:t>
      </w:r>
    </w:p>
    <w:p w:rsidR="004F32A2" w:rsidRDefault="004F32A2"/>
    <w:p w:rsidR="00723443" w:rsidRDefault="008C0DCE">
      <w:hyperlink r:id="rId30" w:history="1">
        <w:r w:rsidR="00661427" w:rsidRPr="001F402A">
          <w:rPr>
            <w:rStyle w:val="Hyperlink"/>
          </w:rPr>
          <w:t>Workplace Readiness Skills (WRS) for the Commonwealth: Instructional Resources</w:t>
        </w:r>
      </w:hyperlink>
      <w:r w:rsidR="00661427">
        <w:t xml:space="preserve"> (</w:t>
      </w:r>
      <w:hyperlink r:id="rId31" w:history="1">
        <w:r w:rsidR="001F402A">
          <w:rPr>
            <w:rStyle w:val="Hyperlink"/>
          </w:rPr>
          <w:t>http://cteresource.org/wrs/index.html</w:t>
        </w:r>
      </w:hyperlink>
      <w:r w:rsidR="00661427">
        <w:t>), Career and Technical Education (CTE) Resource Center.</w:t>
      </w:r>
    </w:p>
    <w:p w:rsidR="00046F99" w:rsidRDefault="00046F99" w:rsidP="00E32177"/>
    <w:p w:rsidR="007D21AC" w:rsidRPr="004C4DE3" w:rsidRDefault="007D21AC" w:rsidP="007D21AC">
      <w:pPr>
        <w:rPr>
          <w:vanish/>
        </w:rPr>
      </w:pPr>
    </w:p>
    <w:sectPr w:rsidR="007D21AC" w:rsidRPr="004C4DE3" w:rsidSect="003866D5">
      <w:headerReference w:type="even" r:id="rId32"/>
      <w:headerReference w:type="default" r:id="rId33"/>
      <w:footerReference w:type="even" r:id="rId34"/>
      <w:footerReference w:type="default" r:id="rId35"/>
      <w:headerReference w:type="first" r:id="rId36"/>
      <w:footerReference w:type="first" r:id="rId37"/>
      <w:type w:val="continuous"/>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39C" w:rsidRDefault="00C6539C">
      <w:r>
        <w:separator/>
      </w:r>
    </w:p>
  </w:endnote>
  <w:endnote w:type="continuationSeparator" w:id="0">
    <w:p w:rsidR="00C6539C" w:rsidRDefault="00C6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39C" w:rsidRDefault="00C6539C">
      <w:r>
        <w:separator/>
      </w:r>
    </w:p>
  </w:footnote>
  <w:footnote w:type="continuationSeparator" w:id="0">
    <w:p w:rsidR="00C6539C" w:rsidRDefault="00C653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443" w:rsidRDefault="007234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3">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52625"/>
    <w:multiLevelType w:val="hybridMultilevel"/>
    <w:tmpl w:val="07F0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3">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2"/>
  </w:num>
  <w:num w:numId="5">
    <w:abstractNumId w:val="2"/>
  </w:num>
  <w:num w:numId="6">
    <w:abstractNumId w:val="9"/>
  </w:num>
  <w:num w:numId="7">
    <w:abstractNumId w:val="23"/>
  </w:num>
  <w:num w:numId="8">
    <w:abstractNumId w:val="11"/>
  </w:num>
  <w:num w:numId="9">
    <w:abstractNumId w:val="3"/>
  </w:num>
  <w:num w:numId="10">
    <w:abstractNumId w:val="1"/>
  </w:num>
  <w:num w:numId="11">
    <w:abstractNumId w:val="6"/>
  </w:num>
  <w:num w:numId="12">
    <w:abstractNumId w:val="21"/>
  </w:num>
  <w:num w:numId="13">
    <w:abstractNumId w:val="20"/>
  </w:num>
  <w:num w:numId="14">
    <w:abstractNumId w:val="5"/>
  </w:num>
  <w:num w:numId="15">
    <w:abstractNumId w:val="16"/>
  </w:num>
  <w:num w:numId="16">
    <w:abstractNumId w:val="14"/>
  </w:num>
  <w:num w:numId="17">
    <w:abstractNumId w:val="8"/>
  </w:num>
  <w:num w:numId="18">
    <w:abstractNumId w:val="17"/>
  </w:num>
  <w:num w:numId="19">
    <w:abstractNumId w:val="19"/>
  </w:num>
  <w:num w:numId="20">
    <w:abstractNumId w:val="10"/>
  </w:num>
  <w:num w:numId="21">
    <w:abstractNumId w:val="18"/>
  </w:num>
  <w:num w:numId="22">
    <w:abstractNumId w:val="7"/>
  </w:num>
  <w:num w:numId="23">
    <w:abstractNumId w:val="24"/>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5137"/>
    <w:rsid w:val="000328C2"/>
    <w:rsid w:val="0003328E"/>
    <w:rsid w:val="0004371A"/>
    <w:rsid w:val="00046F99"/>
    <w:rsid w:val="00060C72"/>
    <w:rsid w:val="000674C0"/>
    <w:rsid w:val="000745A9"/>
    <w:rsid w:val="00086E18"/>
    <w:rsid w:val="00087F5C"/>
    <w:rsid w:val="00097359"/>
    <w:rsid w:val="000B32E7"/>
    <w:rsid w:val="000D12B5"/>
    <w:rsid w:val="000D7D03"/>
    <w:rsid w:val="000E7FA5"/>
    <w:rsid w:val="000F0693"/>
    <w:rsid w:val="000F0ED8"/>
    <w:rsid w:val="000F79CF"/>
    <w:rsid w:val="00103BD3"/>
    <w:rsid w:val="0011143F"/>
    <w:rsid w:val="00121552"/>
    <w:rsid w:val="00121D7A"/>
    <w:rsid w:val="0012736D"/>
    <w:rsid w:val="00140AF7"/>
    <w:rsid w:val="001427FE"/>
    <w:rsid w:val="001512CA"/>
    <w:rsid w:val="00172542"/>
    <w:rsid w:val="001858E3"/>
    <w:rsid w:val="00193DAC"/>
    <w:rsid w:val="001A1C6B"/>
    <w:rsid w:val="001B05D2"/>
    <w:rsid w:val="001E1A46"/>
    <w:rsid w:val="001E1AC3"/>
    <w:rsid w:val="001F402A"/>
    <w:rsid w:val="001F67A1"/>
    <w:rsid w:val="00220D00"/>
    <w:rsid w:val="0023457F"/>
    <w:rsid w:val="002368B6"/>
    <w:rsid w:val="002400DD"/>
    <w:rsid w:val="002508D9"/>
    <w:rsid w:val="002619CF"/>
    <w:rsid w:val="00275D21"/>
    <w:rsid w:val="00276C53"/>
    <w:rsid w:val="002A76BD"/>
    <w:rsid w:val="002B3BAE"/>
    <w:rsid w:val="002C7DFC"/>
    <w:rsid w:val="002D68DB"/>
    <w:rsid w:val="002D6B46"/>
    <w:rsid w:val="002E3BF6"/>
    <w:rsid w:val="002E773E"/>
    <w:rsid w:val="002F0D6C"/>
    <w:rsid w:val="002F12B2"/>
    <w:rsid w:val="002F342A"/>
    <w:rsid w:val="002F7102"/>
    <w:rsid w:val="003035D0"/>
    <w:rsid w:val="00312A77"/>
    <w:rsid w:val="003272F3"/>
    <w:rsid w:val="00337F9A"/>
    <w:rsid w:val="00346F79"/>
    <w:rsid w:val="00385566"/>
    <w:rsid w:val="003866D5"/>
    <w:rsid w:val="003938FD"/>
    <w:rsid w:val="003B292E"/>
    <w:rsid w:val="003B7E5A"/>
    <w:rsid w:val="003D2328"/>
    <w:rsid w:val="003E7005"/>
    <w:rsid w:val="003F01BF"/>
    <w:rsid w:val="00400151"/>
    <w:rsid w:val="00401BBE"/>
    <w:rsid w:val="004122BA"/>
    <w:rsid w:val="0042346B"/>
    <w:rsid w:val="00455424"/>
    <w:rsid w:val="00464F90"/>
    <w:rsid w:val="00472902"/>
    <w:rsid w:val="0048734D"/>
    <w:rsid w:val="00492C2A"/>
    <w:rsid w:val="004A7123"/>
    <w:rsid w:val="004C4DE3"/>
    <w:rsid w:val="004D701D"/>
    <w:rsid w:val="004F32A2"/>
    <w:rsid w:val="00505756"/>
    <w:rsid w:val="0051547E"/>
    <w:rsid w:val="00521075"/>
    <w:rsid w:val="005252E5"/>
    <w:rsid w:val="005609D6"/>
    <w:rsid w:val="00565301"/>
    <w:rsid w:val="0058336B"/>
    <w:rsid w:val="00594E51"/>
    <w:rsid w:val="005B3DAE"/>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D34AB"/>
    <w:rsid w:val="006D7010"/>
    <w:rsid w:val="006F75A3"/>
    <w:rsid w:val="00703E44"/>
    <w:rsid w:val="00722046"/>
    <w:rsid w:val="00723443"/>
    <w:rsid w:val="00727AA4"/>
    <w:rsid w:val="00755E37"/>
    <w:rsid w:val="00757052"/>
    <w:rsid w:val="00767B49"/>
    <w:rsid w:val="00776F42"/>
    <w:rsid w:val="00794BFA"/>
    <w:rsid w:val="007A365B"/>
    <w:rsid w:val="007C13DD"/>
    <w:rsid w:val="007D21AC"/>
    <w:rsid w:val="0080265D"/>
    <w:rsid w:val="0080289E"/>
    <w:rsid w:val="00850179"/>
    <w:rsid w:val="00865399"/>
    <w:rsid w:val="00892984"/>
    <w:rsid w:val="008B4D61"/>
    <w:rsid w:val="008C0DCE"/>
    <w:rsid w:val="008C6EC9"/>
    <w:rsid w:val="008D0DDC"/>
    <w:rsid w:val="00903482"/>
    <w:rsid w:val="0091407D"/>
    <w:rsid w:val="00936139"/>
    <w:rsid w:val="00936CDC"/>
    <w:rsid w:val="0094474B"/>
    <w:rsid w:val="00962923"/>
    <w:rsid w:val="0098243B"/>
    <w:rsid w:val="009B46CE"/>
    <w:rsid w:val="009C341E"/>
    <w:rsid w:val="009E3C23"/>
    <w:rsid w:val="009F3B1C"/>
    <w:rsid w:val="00A105D9"/>
    <w:rsid w:val="00A10E62"/>
    <w:rsid w:val="00A34E1C"/>
    <w:rsid w:val="00A36DD9"/>
    <w:rsid w:val="00A616E5"/>
    <w:rsid w:val="00A764C4"/>
    <w:rsid w:val="00A82094"/>
    <w:rsid w:val="00A84D8E"/>
    <w:rsid w:val="00AA0B04"/>
    <w:rsid w:val="00AC26D3"/>
    <w:rsid w:val="00AD0E2F"/>
    <w:rsid w:val="00AF6AE0"/>
    <w:rsid w:val="00B003F4"/>
    <w:rsid w:val="00B06061"/>
    <w:rsid w:val="00B145B7"/>
    <w:rsid w:val="00B2008B"/>
    <w:rsid w:val="00B47432"/>
    <w:rsid w:val="00B4791E"/>
    <w:rsid w:val="00B64991"/>
    <w:rsid w:val="00B767FC"/>
    <w:rsid w:val="00B86A96"/>
    <w:rsid w:val="00B86BAC"/>
    <w:rsid w:val="00B9184A"/>
    <w:rsid w:val="00BA24D3"/>
    <w:rsid w:val="00BC20F5"/>
    <w:rsid w:val="00BC5C4B"/>
    <w:rsid w:val="00BD0F1C"/>
    <w:rsid w:val="00BE2FDE"/>
    <w:rsid w:val="00BE476F"/>
    <w:rsid w:val="00BF1861"/>
    <w:rsid w:val="00C030DC"/>
    <w:rsid w:val="00C03A96"/>
    <w:rsid w:val="00C34A67"/>
    <w:rsid w:val="00C40B88"/>
    <w:rsid w:val="00C4617B"/>
    <w:rsid w:val="00C52BD7"/>
    <w:rsid w:val="00C54C98"/>
    <w:rsid w:val="00C6539C"/>
    <w:rsid w:val="00C74092"/>
    <w:rsid w:val="00C84FD3"/>
    <w:rsid w:val="00C857AD"/>
    <w:rsid w:val="00C937CC"/>
    <w:rsid w:val="00CB71A2"/>
    <w:rsid w:val="00CC1200"/>
    <w:rsid w:val="00D33A4E"/>
    <w:rsid w:val="00D472EA"/>
    <w:rsid w:val="00D73055"/>
    <w:rsid w:val="00D831A9"/>
    <w:rsid w:val="00D865A9"/>
    <w:rsid w:val="00D90FF5"/>
    <w:rsid w:val="00DB2916"/>
    <w:rsid w:val="00DC7625"/>
    <w:rsid w:val="00DD2E8B"/>
    <w:rsid w:val="00DD6139"/>
    <w:rsid w:val="00DF2D73"/>
    <w:rsid w:val="00E122F4"/>
    <w:rsid w:val="00E32177"/>
    <w:rsid w:val="00E354A8"/>
    <w:rsid w:val="00E654DC"/>
    <w:rsid w:val="00E75FDB"/>
    <w:rsid w:val="00E83E6E"/>
    <w:rsid w:val="00E869DD"/>
    <w:rsid w:val="00E900AD"/>
    <w:rsid w:val="00E934CF"/>
    <w:rsid w:val="00EA1418"/>
    <w:rsid w:val="00EC022C"/>
    <w:rsid w:val="00EC0E83"/>
    <w:rsid w:val="00ED0CC7"/>
    <w:rsid w:val="00EE28D6"/>
    <w:rsid w:val="00EE497E"/>
    <w:rsid w:val="00F24D5D"/>
    <w:rsid w:val="00F40BB1"/>
    <w:rsid w:val="00F83D3F"/>
    <w:rsid w:val="00F93579"/>
    <w:rsid w:val="00FB1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UnresolvedMention">
    <w:name w:val="Unresolved Mention"/>
    <w:basedOn w:val="DefaultParagraphFont"/>
    <w:uiPriority w:val="99"/>
    <w:semiHidden/>
    <w:unhideWhenUsed/>
    <w:rsid w:val="001F402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UnresolvedMention">
    <w:name w:val="Unresolved Mention"/>
    <w:basedOn w:val="DefaultParagraphFont"/>
    <w:uiPriority w:val="99"/>
    <w:semiHidden/>
    <w:unhideWhenUsed/>
    <w:rsid w:val="001F4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unitedspinal.org/pdf/DisabilityEtiquette.pdf" TargetMode="External"/><Relationship Id="rId21" Type="http://schemas.openxmlformats.org/officeDocument/2006/relationships/hyperlink" Target="http://www.unitedspinal.org/pdf/DisabilityEtiquette.pdf" TargetMode="External"/><Relationship Id="rId22" Type="http://schemas.openxmlformats.org/officeDocument/2006/relationships/hyperlink" Target="https://www.dol.gov/odep/pubs/fact/effectiveinteraction.htm" TargetMode="External"/><Relationship Id="rId23" Type="http://schemas.openxmlformats.org/officeDocument/2006/relationships/hyperlink" Target="https://www.dol.gov/odep/pubs/fact/effectiveinteraction.htm" TargetMode="External"/><Relationship Id="rId24" Type="http://schemas.openxmlformats.org/officeDocument/2006/relationships/hyperlink" Target="https://www.dol.gov/odep/topics/youth/softskills/" TargetMode="External"/><Relationship Id="rId25" Type="http://schemas.openxmlformats.org/officeDocument/2006/relationships/hyperlink" Target="https://www.dol.gov/odep/topics/youth/softskills/" TargetMode="External"/><Relationship Id="rId26" Type="http://schemas.openxmlformats.org/officeDocument/2006/relationships/hyperlink" Target="http://www.tolerance.org/lesson/editorial-cartoon-equal-opportunity" TargetMode="External"/><Relationship Id="rId27" Type="http://schemas.openxmlformats.org/officeDocument/2006/relationships/hyperlink" Target="http://www.tolerance.org/lesson/editorial-cartoon-equal-opportunity" TargetMode="External"/><Relationship Id="rId28" Type="http://schemas.openxmlformats.org/officeDocument/2006/relationships/hyperlink" Target="https://www.ctecs.org/virginia/virginia-overview" TargetMode="External"/><Relationship Id="rId29" Type="http://schemas.openxmlformats.org/officeDocument/2006/relationships/hyperlink" Target="https://www.ctecs.org/virginia/virginia-overvie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cteresource.org/wrs/index.html" TargetMode="External"/><Relationship Id="rId31" Type="http://schemas.openxmlformats.org/officeDocument/2006/relationships/hyperlink" Target="http://cteresource.org/wrs/index.html" TargetMode="External"/><Relationship Id="rId32" Type="http://schemas.openxmlformats.org/officeDocument/2006/relationships/header" Target="head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2.xml"/><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header" Target="header3.xml"/><Relationship Id="rId10" Type="http://schemas.openxmlformats.org/officeDocument/2006/relationships/hyperlink" Target="http://www.unitedspinal.org/pdf/DisabilityEtiquette.pdf" TargetMode="External"/><Relationship Id="rId11" Type="http://schemas.openxmlformats.org/officeDocument/2006/relationships/hyperlink" Target="http://www.unitedspinal.org/pdf/DisabilityEtiquette.pdf" TargetMode="External"/><Relationship Id="rId12" Type="http://schemas.openxmlformats.org/officeDocument/2006/relationships/hyperlink" Target="http://www.tolerance.org/sites/default/files/general/tt_researching_disabilities.pdf" TargetMode="External"/><Relationship Id="rId13" Type="http://schemas.openxmlformats.org/officeDocument/2006/relationships/hyperlink" Target="http://www.tolerance.org/sites/default/files/general/tt_researching_disabilities.pdf" TargetMode="External"/><Relationship Id="rId14" Type="http://schemas.openxmlformats.org/officeDocument/2006/relationships/hyperlink" Target="http://www.tolerance.org/sites/default/files/general/tt_understanding_hidden_disabilities.pdf" TargetMode="External"/><Relationship Id="rId15" Type="http://schemas.openxmlformats.org/officeDocument/2006/relationships/hyperlink" Target="http://www.tolerance.org/sites/default/files/general/tt_understanding_hidden_disabilities.pdf" TargetMode="External"/><Relationship Id="rId16" Type="http://schemas.openxmlformats.org/officeDocument/2006/relationships/hyperlink" Target="http://www.pbs.org/ampu/index.html" TargetMode="External"/><Relationship Id="rId17" Type="http://schemas.openxmlformats.org/officeDocument/2006/relationships/hyperlink" Target="http://www.pbs.org/ampu/index.html" TargetMode="External"/><Relationship Id="rId18" Type="http://schemas.openxmlformats.org/officeDocument/2006/relationships/hyperlink" Target="https://www.dol.gov/odep/pubs/fact/effectiveinteraction.htm" TargetMode="External"/><Relationship Id="rId19" Type="http://schemas.openxmlformats.org/officeDocument/2006/relationships/hyperlink" Target="https://www.dol.gov/odep/pubs/fact/effectiveinteraction.htm" TargetMode="External"/><Relationship Id="rId37" Type="http://schemas.openxmlformats.org/officeDocument/2006/relationships/footer" Target="footer3.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3876E-2D71-7B43-AC1B-AA5ABF87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1301</Words>
  <Characters>7419</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2019-07-18T16:31:00Z</dcterms:created>
  <dcterms:modified xsi:type="dcterms:W3CDTF">2019-07-18T16:31:00Z</dcterms:modified>
</cp:coreProperties>
</file>