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8E4A0" w14:textId="3FE9531A" w:rsidR="002D20D4" w:rsidRPr="002D20D4" w:rsidRDefault="002D20D4" w:rsidP="002D20D4">
      <w:pPr>
        <w:rPr>
          <w:color w:val="AEAAAA" w:themeColor="background2" w:themeShade="BF"/>
          <w:sz w:val="56"/>
          <w:szCs w:val="56"/>
        </w:rPr>
      </w:pPr>
      <w:r w:rsidRPr="002D20D4">
        <w:rPr>
          <w:noProof/>
          <w:color w:val="AEAAAA" w:themeColor="background2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893AA50" wp14:editId="7525F45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773936" cy="9235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ct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0D4">
        <w:rPr>
          <w:color w:val="AEAAAA" w:themeColor="background2" w:themeShade="BF"/>
          <w:sz w:val="56"/>
          <w:szCs w:val="56"/>
        </w:rPr>
        <w:t>Lesson Plan</w:t>
      </w:r>
    </w:p>
    <w:p w14:paraId="244EB678" w14:textId="343A6960" w:rsidR="00187AFF" w:rsidRPr="002D20D4" w:rsidRDefault="002B5BA4" w:rsidP="002D20D4">
      <w:pPr>
        <w:rPr>
          <w:sz w:val="56"/>
          <w:szCs w:val="56"/>
        </w:rPr>
      </w:pPr>
      <w:r w:rsidRPr="002D20D4">
        <w:rPr>
          <w:sz w:val="56"/>
          <w:szCs w:val="56"/>
        </w:rPr>
        <w:t>Continuous Learning and Adaptability</w:t>
      </w:r>
    </w:p>
    <w:p w14:paraId="402CDB7D" w14:textId="77777777" w:rsidR="0054264F" w:rsidRPr="0054264F" w:rsidRDefault="0054264F" w:rsidP="0054264F">
      <w:pPr>
        <w:rPr>
          <w:i/>
        </w:rPr>
      </w:pPr>
    </w:p>
    <w:p w14:paraId="12691F08" w14:textId="50FE1821" w:rsidR="007B7EF5" w:rsidRDefault="00187AFF" w:rsidP="002B5BA4">
      <w:r w:rsidRPr="00D1126E">
        <w:rPr>
          <w:rStyle w:val="SubtitleChar"/>
        </w:rPr>
        <w:t>Objectives</w:t>
      </w:r>
      <w:r w:rsidRPr="00187AFF">
        <w:t>:</w:t>
      </w:r>
      <w:r w:rsidR="002B5BA4">
        <w:t xml:space="preserve"> </w:t>
      </w:r>
      <w:r w:rsidR="00D85326" w:rsidRPr="00D85326">
        <w:t xml:space="preserve">The student will </w:t>
      </w:r>
      <w:r w:rsidR="009A3F0C">
        <w:t>explore</w:t>
      </w:r>
      <w:r w:rsidR="00DE2ED4">
        <w:t xml:space="preserve"> </w:t>
      </w:r>
      <w:r w:rsidR="005C6183">
        <w:t>continuous learning and adaptability</w:t>
      </w:r>
      <w:r w:rsidR="002B5BA4">
        <w:t xml:space="preserve"> and will evaluate the importance of </w:t>
      </w:r>
      <w:r w:rsidR="005C6183">
        <w:t>these</w:t>
      </w:r>
      <w:r w:rsidR="002B5BA4">
        <w:t xml:space="preserve"> </w:t>
      </w:r>
      <w:r w:rsidR="009A3F0C">
        <w:t>attributes</w:t>
      </w:r>
      <w:r w:rsidR="002B5BA4">
        <w:t xml:space="preserve"> in the workplace.</w:t>
      </w:r>
    </w:p>
    <w:p w14:paraId="44C6AADB" w14:textId="149564B5" w:rsidR="005C6183" w:rsidRDefault="005C6183" w:rsidP="002B5BA4"/>
    <w:p w14:paraId="761DC4A4" w14:textId="4C959B1C" w:rsidR="005C6183" w:rsidRPr="005C6183" w:rsidRDefault="005C6183" w:rsidP="005C6183">
      <w:pPr>
        <w:widowControl w:val="0"/>
        <w:rPr>
          <w:rFonts w:ascii="Calibri" w:eastAsia="Calibri" w:hAnsi="Calibri" w:cs="Calibri"/>
          <w:b/>
          <w:color w:val="000000"/>
        </w:rPr>
      </w:pPr>
      <w:r w:rsidRPr="005C6183">
        <w:rPr>
          <w:rFonts w:ascii="Calibri" w:eastAsia="Calibri" w:hAnsi="Calibri" w:cs="Calibri"/>
          <w:color w:val="5A5A5A"/>
        </w:rPr>
        <w:t>Workplace Readiness Skill:</w:t>
      </w:r>
      <w:r w:rsidRPr="005C6183">
        <w:rPr>
          <w:rFonts w:ascii="Calibri" w:eastAsia="Calibri" w:hAnsi="Calibri" w:cs="Calibri"/>
          <w:color w:val="000000"/>
        </w:rPr>
        <w:t xml:space="preserve">    </w:t>
      </w:r>
      <w:r w:rsidRPr="005C6183">
        <w:rPr>
          <w:rFonts w:ascii="Calibri" w:eastAsia="Calibri" w:hAnsi="Calibri" w:cs="Calibri"/>
          <w:b/>
          <w:color w:val="000000"/>
        </w:rPr>
        <w:t>Demonstrate continuous learning and adaptability.</w:t>
      </w:r>
    </w:p>
    <w:p w14:paraId="6F0DB712" w14:textId="77777777" w:rsidR="005C6183" w:rsidRPr="005C6183" w:rsidRDefault="005C6183" w:rsidP="005C6183">
      <w:pPr>
        <w:widowControl w:val="0"/>
        <w:rPr>
          <w:rFonts w:ascii="Calibri" w:eastAsia="Calibri" w:hAnsi="Calibri" w:cs="Calibri"/>
          <w:color w:val="000000"/>
        </w:rPr>
      </w:pPr>
    </w:p>
    <w:p w14:paraId="55DAAF0F" w14:textId="77777777" w:rsidR="005C6183" w:rsidRPr="005C6183" w:rsidRDefault="005C6183" w:rsidP="005C6183">
      <w:pPr>
        <w:rPr>
          <w:rFonts w:ascii="Calibri" w:eastAsia="Calibri" w:hAnsi="Calibri" w:cs="Calibri"/>
          <w:i/>
          <w:color w:val="000000"/>
        </w:rPr>
      </w:pPr>
      <w:r w:rsidRPr="005C6183">
        <w:rPr>
          <w:rFonts w:ascii="Calibri" w:eastAsia="Calibri" w:hAnsi="Calibri" w:cs="Calibri"/>
          <w:i/>
          <w:color w:val="000000"/>
        </w:rPr>
        <w:t xml:space="preserve">Demonstration includes </w:t>
      </w:r>
    </w:p>
    <w:p w14:paraId="417AC564" w14:textId="77777777" w:rsidR="005C6183" w:rsidRPr="005C6183" w:rsidRDefault="005C6183" w:rsidP="005C618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i/>
          <w:color w:val="000000"/>
        </w:rPr>
      </w:pPr>
      <w:r w:rsidRPr="005C6183">
        <w:rPr>
          <w:rFonts w:ascii="Calibri" w:eastAsia="Calibri" w:hAnsi="Calibri" w:cs="Calibri"/>
          <w:i/>
          <w:color w:val="000000"/>
        </w:rPr>
        <w:t xml:space="preserve">describing the importance of continuous learning </w:t>
      </w:r>
    </w:p>
    <w:p w14:paraId="1DF3703C" w14:textId="77777777" w:rsidR="005C6183" w:rsidRPr="005C6183" w:rsidRDefault="005C6183" w:rsidP="005C618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i/>
          <w:color w:val="000000"/>
        </w:rPr>
      </w:pPr>
      <w:r w:rsidRPr="005C6183">
        <w:rPr>
          <w:rFonts w:ascii="Calibri" w:eastAsia="Calibri" w:hAnsi="Calibri" w:cs="Calibri"/>
          <w:i/>
          <w:color w:val="000000"/>
        </w:rPr>
        <w:t xml:space="preserve">identifying resources for continuous learning (e.g., publications, trade organizations, professional networking, workshops/classes) </w:t>
      </w:r>
    </w:p>
    <w:p w14:paraId="1F257EA6" w14:textId="77777777" w:rsidR="005C6183" w:rsidRPr="005C6183" w:rsidRDefault="005C6183" w:rsidP="005C618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i/>
          <w:color w:val="000000"/>
        </w:rPr>
      </w:pPr>
      <w:r w:rsidRPr="005C6183">
        <w:rPr>
          <w:rFonts w:ascii="Calibri" w:eastAsia="Calibri" w:hAnsi="Calibri" w:cs="Calibri"/>
          <w:i/>
          <w:color w:val="000000"/>
        </w:rPr>
        <w:t xml:space="preserve">modifying work performance based on feedback (i.e., being coachable) </w:t>
      </w:r>
    </w:p>
    <w:p w14:paraId="7C785967" w14:textId="77777777" w:rsidR="005C6183" w:rsidRPr="005C6183" w:rsidRDefault="005C6183" w:rsidP="005C618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i/>
          <w:color w:val="000000"/>
        </w:rPr>
      </w:pPr>
      <w:r w:rsidRPr="005C6183">
        <w:rPr>
          <w:rFonts w:ascii="Calibri" w:eastAsia="Calibri" w:hAnsi="Calibri" w:cs="Calibri"/>
          <w:i/>
          <w:color w:val="000000"/>
        </w:rPr>
        <w:t xml:space="preserve">acquiring industry-related professional skills and knowledge (e.g., credentials/certifications) </w:t>
      </w:r>
    </w:p>
    <w:p w14:paraId="300ABFFA" w14:textId="77777777" w:rsidR="005C6183" w:rsidRPr="005C6183" w:rsidRDefault="005C6183" w:rsidP="005C618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i/>
          <w:color w:val="000000"/>
        </w:rPr>
      </w:pPr>
      <w:r w:rsidRPr="005C6183">
        <w:rPr>
          <w:rFonts w:ascii="Calibri" w:eastAsia="Calibri" w:hAnsi="Calibri" w:cs="Calibri"/>
          <w:i/>
          <w:color w:val="000000"/>
        </w:rPr>
        <w:t xml:space="preserve">adapting to changing job requirements. </w:t>
      </w:r>
    </w:p>
    <w:p w14:paraId="693B013D" w14:textId="77777777" w:rsidR="002B5BA4" w:rsidRDefault="002B5BA4" w:rsidP="002B5BA4">
      <w:pPr>
        <w:ind w:left="720"/>
      </w:pPr>
    </w:p>
    <w:p w14:paraId="6BE6626B" w14:textId="77777777" w:rsidR="007B7EF5" w:rsidRDefault="007B7EF5" w:rsidP="007B7EF5">
      <w:pPr>
        <w:pStyle w:val="Subtitle"/>
      </w:pPr>
      <w:r>
        <w:t>Correlations to Other Workplace Readiness Skills:</w:t>
      </w:r>
    </w:p>
    <w:p w14:paraId="2D489F84" w14:textId="53DF908B" w:rsidR="002B5BA4" w:rsidRDefault="002B5BA4" w:rsidP="002B5BA4">
      <w:pPr>
        <w:pStyle w:val="ListParagraph"/>
        <w:numPr>
          <w:ilvl w:val="0"/>
          <w:numId w:val="1"/>
        </w:numPr>
      </w:pPr>
      <w:r w:rsidRPr="007B7EF5">
        <w:t xml:space="preserve">Demonstrate creativity and </w:t>
      </w:r>
      <w:r>
        <w:t>innovation</w:t>
      </w:r>
      <w:r w:rsidRPr="007B7EF5">
        <w:t>.</w:t>
      </w:r>
    </w:p>
    <w:p w14:paraId="4953B980" w14:textId="77777777" w:rsidR="002B5BA4" w:rsidRDefault="002B5BA4" w:rsidP="002B5BA4">
      <w:pPr>
        <w:pStyle w:val="ListParagraph"/>
        <w:numPr>
          <w:ilvl w:val="0"/>
          <w:numId w:val="1"/>
        </w:numPr>
      </w:pPr>
      <w:r w:rsidRPr="007C151F">
        <w:t xml:space="preserve">Demonstrate listening </w:t>
      </w:r>
      <w:r>
        <w:t xml:space="preserve">and speaking </w:t>
      </w:r>
      <w:r w:rsidRPr="007C151F">
        <w:t>skills.</w:t>
      </w:r>
    </w:p>
    <w:p w14:paraId="005A8A6D" w14:textId="0447202E" w:rsidR="007B7EF5" w:rsidRDefault="002B5BA4" w:rsidP="007B7EF5">
      <w:pPr>
        <w:pStyle w:val="ListParagraph"/>
        <w:numPr>
          <w:ilvl w:val="0"/>
          <w:numId w:val="1"/>
        </w:numPr>
      </w:pPr>
      <w:r>
        <w:t>Collaborate with team members</w:t>
      </w:r>
      <w:r w:rsidR="007B7EF5">
        <w:t>.</w:t>
      </w:r>
    </w:p>
    <w:p w14:paraId="15D21CE8" w14:textId="2DE06EAE" w:rsidR="002B5BA4" w:rsidRDefault="002B5BA4" w:rsidP="007B7EF5">
      <w:pPr>
        <w:pStyle w:val="ListParagraph"/>
        <w:numPr>
          <w:ilvl w:val="0"/>
          <w:numId w:val="1"/>
        </w:numPr>
      </w:pPr>
      <w:r>
        <w:t>Demonstrate career- and life-management skills.</w:t>
      </w:r>
    </w:p>
    <w:p w14:paraId="1602D69D" w14:textId="65AB0CA9" w:rsidR="002B5BA4" w:rsidRDefault="002B5BA4" w:rsidP="007B7EF5">
      <w:pPr>
        <w:pStyle w:val="ListParagraph"/>
        <w:numPr>
          <w:ilvl w:val="0"/>
          <w:numId w:val="1"/>
        </w:numPr>
      </w:pPr>
      <w:r>
        <w:t>Manage time and resources.</w:t>
      </w:r>
    </w:p>
    <w:p w14:paraId="59184781" w14:textId="5106046C" w:rsidR="007B7EF5" w:rsidRDefault="007B7EF5" w:rsidP="007B7EF5">
      <w:pPr>
        <w:pStyle w:val="ListParagraph"/>
        <w:numPr>
          <w:ilvl w:val="0"/>
          <w:numId w:val="1"/>
        </w:numPr>
      </w:pPr>
      <w:r w:rsidRPr="007C151F">
        <w:t>Demonstrate reading and writing skills.</w:t>
      </w:r>
    </w:p>
    <w:p w14:paraId="267E9D30" w14:textId="024619B9" w:rsidR="00187AFF" w:rsidRDefault="00187AFF" w:rsidP="00187AFF"/>
    <w:p w14:paraId="184407B6" w14:textId="77777777" w:rsidR="005C6183" w:rsidRPr="005C6183" w:rsidRDefault="005C6183" w:rsidP="005C6183">
      <w:pPr>
        <w:widowControl w:val="0"/>
        <w:spacing w:after="160"/>
        <w:rPr>
          <w:rFonts w:ascii="Calibri" w:eastAsia="Calibri" w:hAnsi="Calibri" w:cs="Calibri"/>
          <w:color w:val="5A5A5A"/>
        </w:rPr>
      </w:pPr>
      <w:r w:rsidRPr="005C6183">
        <w:rPr>
          <w:rFonts w:ascii="Calibri" w:eastAsia="Calibri" w:hAnsi="Calibri" w:cs="Calibri"/>
          <w:color w:val="5A5A5A"/>
        </w:rPr>
        <w:t>Correlations to Virginia Standards of Learning (SOL):</w:t>
      </w:r>
    </w:p>
    <w:p w14:paraId="04E87ED4" w14:textId="77777777" w:rsidR="005C6183" w:rsidRPr="005C6183" w:rsidRDefault="005C6183" w:rsidP="005C6183">
      <w:pPr>
        <w:widowControl w:val="0"/>
        <w:ind w:left="720"/>
        <w:contextualSpacing/>
        <w:rPr>
          <w:rFonts w:ascii="Calibri" w:eastAsia="Calibri" w:hAnsi="Calibri" w:cs="Calibri"/>
          <w:color w:val="000000"/>
        </w:rPr>
      </w:pPr>
      <w:r w:rsidRPr="005C6183">
        <w:rPr>
          <w:rFonts w:ascii="Calibri" w:eastAsia="Calibri" w:hAnsi="Calibri" w:cs="Calibri"/>
          <w:color w:val="000000"/>
        </w:rPr>
        <w:t>English: 6.1, 6.6, 6.7, 6.8, 7.1, 7.6, 7.7, 7.8, 8.6, 8.7, 8.8, 9.5, 9.6, 9.7, 10.1, 10.5, 10.6, 10.7, 11.5, 11.6, 11.7, 12.5, 12.6, 12.7</w:t>
      </w:r>
    </w:p>
    <w:p w14:paraId="665636D9" w14:textId="77777777" w:rsidR="005C6183" w:rsidRPr="005C6183" w:rsidRDefault="005C6183" w:rsidP="005C6183">
      <w:pPr>
        <w:widowControl w:val="0"/>
        <w:ind w:left="720"/>
        <w:contextualSpacing/>
        <w:rPr>
          <w:rFonts w:ascii="Calibri" w:eastAsia="Calibri" w:hAnsi="Calibri" w:cs="Calibri"/>
          <w:color w:val="000000"/>
        </w:rPr>
      </w:pPr>
      <w:r w:rsidRPr="005C6183">
        <w:rPr>
          <w:rFonts w:ascii="Calibri" w:eastAsia="Calibri" w:hAnsi="Calibri" w:cs="Calibri"/>
          <w:color w:val="000000"/>
        </w:rPr>
        <w:t>History and Social Science: CE.1, CE.4, CE.14, GOVT.1, GOVT.16, USI.1, USII.1, VUS.1, WG.1, WHI.1, WHII.1</w:t>
      </w:r>
    </w:p>
    <w:p w14:paraId="56557133" w14:textId="77777777" w:rsidR="005C6183" w:rsidRPr="00187AFF" w:rsidRDefault="005C6183" w:rsidP="00187AFF"/>
    <w:p w14:paraId="6260FC4C" w14:textId="77777777" w:rsidR="00187AFF" w:rsidRPr="00187AFF" w:rsidRDefault="00187AFF" w:rsidP="00720DCF">
      <w:pPr>
        <w:pStyle w:val="Subtitle"/>
      </w:pPr>
      <w:r w:rsidRPr="00187AFF">
        <w:t>Instructional Steps:</w:t>
      </w:r>
    </w:p>
    <w:p w14:paraId="7A1F949F" w14:textId="487A1471" w:rsidR="00303424" w:rsidRDefault="002B5BA4" w:rsidP="00303424">
      <w:pPr>
        <w:numPr>
          <w:ilvl w:val="0"/>
          <w:numId w:val="6"/>
        </w:numPr>
        <w:contextualSpacing/>
        <w:rPr>
          <w:rFonts w:ascii="Garamond" w:hAnsi="Garamond"/>
        </w:rPr>
      </w:pPr>
      <w:r>
        <w:rPr>
          <w:rStyle w:val="BookTitle"/>
        </w:rPr>
        <w:t>Introduce the lesson.</w:t>
      </w:r>
      <w:r w:rsidR="00C35950">
        <w:t xml:space="preserve"> </w:t>
      </w:r>
      <w:r>
        <w:t>Explain to s</w:t>
      </w:r>
      <w:r w:rsidR="00C35950">
        <w:t xml:space="preserve">tudents they will be </w:t>
      </w:r>
      <w:r w:rsidR="00B61D6E">
        <w:t>exploring</w:t>
      </w:r>
      <w:r w:rsidR="00C35950">
        <w:t xml:space="preserve"> how </w:t>
      </w:r>
      <w:r>
        <w:t>to</w:t>
      </w:r>
      <w:r w:rsidR="00C35950">
        <w:t xml:space="preserve"> demonstrate </w:t>
      </w:r>
      <w:r>
        <w:t>continuous learning and adaptability and why these</w:t>
      </w:r>
      <w:r w:rsidR="00303424">
        <w:t xml:space="preserve"> are so important</w:t>
      </w:r>
      <w:r w:rsidR="009A3F0C">
        <w:t xml:space="preserve"> in the workplace</w:t>
      </w:r>
      <w:r w:rsidR="00303424">
        <w:t>.</w:t>
      </w:r>
    </w:p>
    <w:p w14:paraId="1BC48F91" w14:textId="77777777" w:rsidR="00303424" w:rsidRDefault="00303424" w:rsidP="00303424">
      <w:pPr>
        <w:contextualSpacing/>
        <w:rPr>
          <w:rFonts w:ascii="Garamond" w:hAnsi="Garamond"/>
        </w:rPr>
      </w:pPr>
    </w:p>
    <w:p w14:paraId="2D210043" w14:textId="41552329" w:rsidR="00303424" w:rsidRPr="00C82AD0" w:rsidRDefault="009A3F0C" w:rsidP="00303424">
      <w:pPr>
        <w:numPr>
          <w:ilvl w:val="0"/>
          <w:numId w:val="6"/>
        </w:numPr>
        <w:contextualSpacing/>
        <w:rPr>
          <w:rStyle w:val="BookTitle"/>
          <w:rFonts w:ascii="Garamond" w:hAnsi="Garamond"/>
          <w:b w:val="0"/>
          <w:bCs w:val="0"/>
          <w:i w:val="0"/>
          <w:iCs w:val="0"/>
          <w:spacing w:val="0"/>
        </w:rPr>
      </w:pPr>
      <w:r>
        <w:rPr>
          <w:rStyle w:val="BookTitle"/>
        </w:rPr>
        <w:t>D</w:t>
      </w:r>
      <w:r w:rsidR="00E820EE" w:rsidRPr="00E820EE">
        <w:rPr>
          <w:rStyle w:val="BookTitle"/>
        </w:rPr>
        <w:t>iscuss the question:</w:t>
      </w:r>
      <w:r w:rsidR="00E820EE">
        <w:rPr>
          <w:rStyle w:val="BookTitle"/>
          <w:b w:val="0"/>
          <w:i w:val="0"/>
        </w:rPr>
        <w:t xml:space="preserve"> </w:t>
      </w:r>
      <w:r w:rsidR="00303424" w:rsidRPr="00E820EE">
        <w:rPr>
          <w:rStyle w:val="BookTitle"/>
          <w:b w:val="0"/>
        </w:rPr>
        <w:t>How do you show what you know</w:t>
      </w:r>
      <w:r w:rsidR="00E5699C" w:rsidRPr="00E820EE">
        <w:rPr>
          <w:rStyle w:val="BookTitle"/>
          <w:b w:val="0"/>
        </w:rPr>
        <w:t>—</w:t>
      </w:r>
      <w:r w:rsidR="00303424" w:rsidRPr="00E820EE">
        <w:rPr>
          <w:rStyle w:val="BookTitle"/>
          <w:b w:val="0"/>
        </w:rPr>
        <w:t xml:space="preserve">and what you want to know? </w:t>
      </w:r>
      <w:r w:rsidR="00303424" w:rsidRPr="00E251DE">
        <w:rPr>
          <w:rStyle w:val="BookTitle"/>
          <w:b w:val="0"/>
        </w:rPr>
        <w:t>How will you go about showing future employers</w:t>
      </w:r>
      <w:r w:rsidR="005032E8">
        <w:rPr>
          <w:rStyle w:val="BookTitle"/>
          <w:b w:val="0"/>
        </w:rPr>
        <w:t>, or potential employers,</w:t>
      </w:r>
      <w:r w:rsidR="00DE2ED4">
        <w:rPr>
          <w:rStyle w:val="BookTitle"/>
          <w:b w:val="0"/>
        </w:rPr>
        <w:t xml:space="preserve"> that you </w:t>
      </w:r>
      <w:r w:rsidR="00E820EE">
        <w:rPr>
          <w:rStyle w:val="BookTitle"/>
          <w:b w:val="0"/>
        </w:rPr>
        <w:t>value continuous learning and adaptability</w:t>
      </w:r>
      <w:r w:rsidR="00303424" w:rsidRPr="00E251DE">
        <w:rPr>
          <w:rStyle w:val="BookTitle"/>
          <w:b w:val="0"/>
        </w:rPr>
        <w:t xml:space="preserve">? </w:t>
      </w:r>
      <w:r w:rsidR="00C82AD0">
        <w:rPr>
          <w:rStyle w:val="BookTitle"/>
          <w:b w:val="0"/>
          <w:i w:val="0"/>
        </w:rPr>
        <w:t>Possible responses may include:</w:t>
      </w:r>
    </w:p>
    <w:p w14:paraId="46DE9EF7" w14:textId="77777777" w:rsidR="00C82AD0" w:rsidRDefault="00C82AD0" w:rsidP="00C82AD0">
      <w:pPr>
        <w:pStyle w:val="ListParagraph"/>
        <w:rPr>
          <w:rFonts w:ascii="Garamond" w:hAnsi="Garamond"/>
        </w:rPr>
      </w:pPr>
    </w:p>
    <w:p w14:paraId="330C07A7" w14:textId="2C171185" w:rsidR="00C82AD0" w:rsidRPr="00E251DE" w:rsidRDefault="00E820EE" w:rsidP="00E251DE">
      <w:pPr>
        <w:numPr>
          <w:ilvl w:val="1"/>
          <w:numId w:val="4"/>
        </w:numPr>
      </w:pPr>
      <w:r>
        <w:t>Highlighting</w:t>
      </w:r>
      <w:r w:rsidR="00DE2ED4">
        <w:t xml:space="preserve"> </w:t>
      </w:r>
      <w:r>
        <w:t>continuous learning</w:t>
      </w:r>
      <w:r w:rsidR="00C82AD0" w:rsidRPr="00E251DE">
        <w:t xml:space="preserve"> experiences on a r</w:t>
      </w:r>
      <w:r w:rsidR="00B61D6E">
        <w:t>é</w:t>
      </w:r>
      <w:r w:rsidR="00C82AD0" w:rsidRPr="00E251DE">
        <w:t>sum</w:t>
      </w:r>
      <w:r w:rsidR="00B61D6E">
        <w:t>é</w:t>
      </w:r>
      <w:r>
        <w:t xml:space="preserve"> or during a job interview</w:t>
      </w:r>
    </w:p>
    <w:p w14:paraId="7BC54B4A" w14:textId="77777777" w:rsidR="00C82AD0" w:rsidRPr="00E251DE" w:rsidRDefault="00C82AD0" w:rsidP="00E251DE">
      <w:pPr>
        <w:numPr>
          <w:ilvl w:val="1"/>
          <w:numId w:val="4"/>
        </w:numPr>
      </w:pPr>
      <w:r w:rsidRPr="00E251DE">
        <w:t>Inquiring about professional development opportunities within the organization</w:t>
      </w:r>
    </w:p>
    <w:p w14:paraId="5BFBE620" w14:textId="1AF0B00D" w:rsidR="00C82AD0" w:rsidRDefault="00C82AD0" w:rsidP="00E251DE">
      <w:pPr>
        <w:numPr>
          <w:ilvl w:val="1"/>
          <w:numId w:val="4"/>
        </w:numPr>
      </w:pPr>
      <w:r w:rsidRPr="00E251DE">
        <w:t xml:space="preserve">Keeping a log of opportunities and experiences related to </w:t>
      </w:r>
      <w:r w:rsidR="00E820EE">
        <w:t>continuous</w:t>
      </w:r>
      <w:r w:rsidRPr="00E251DE">
        <w:t xml:space="preserve"> learning</w:t>
      </w:r>
      <w:r w:rsidR="00E251DE">
        <w:t>, including documentation of participation</w:t>
      </w:r>
    </w:p>
    <w:p w14:paraId="3596318D" w14:textId="77777777" w:rsidR="00A66262" w:rsidRDefault="00A66262" w:rsidP="00A66262"/>
    <w:p w14:paraId="5DF7C969" w14:textId="1DFE2431" w:rsidR="00A66262" w:rsidRDefault="00A66262" w:rsidP="00A66262">
      <w:pPr>
        <w:ind w:left="720"/>
      </w:pPr>
      <w:r>
        <w:lastRenderedPageBreak/>
        <w:t xml:space="preserve">Tell students they will work with a group to explore these methods and more. </w:t>
      </w:r>
    </w:p>
    <w:p w14:paraId="6F589D44" w14:textId="77777777" w:rsidR="00A66262" w:rsidRPr="00E251DE" w:rsidRDefault="00A66262" w:rsidP="00A66262">
      <w:pPr>
        <w:ind w:left="1440"/>
      </w:pPr>
    </w:p>
    <w:p w14:paraId="7ADC8574" w14:textId="012042C9" w:rsidR="00841AE7" w:rsidRPr="001D137C" w:rsidRDefault="00841AE7" w:rsidP="002474F5">
      <w:pPr>
        <w:pStyle w:val="ListParagraph"/>
        <w:numPr>
          <w:ilvl w:val="0"/>
          <w:numId w:val="6"/>
        </w:numPr>
        <w:rPr>
          <w:rStyle w:val="BookTitle"/>
          <w:rFonts w:ascii="Garamond" w:hAnsi="Garamond"/>
          <w:b w:val="0"/>
          <w:bCs w:val="0"/>
          <w:i w:val="0"/>
          <w:iCs w:val="0"/>
          <w:spacing w:val="0"/>
        </w:rPr>
      </w:pPr>
      <w:r>
        <w:rPr>
          <w:rStyle w:val="BookTitle"/>
        </w:rPr>
        <w:t xml:space="preserve">Work, and learn, together. </w:t>
      </w:r>
      <w:r w:rsidRPr="001D137C">
        <w:rPr>
          <w:rStyle w:val="BookTitle"/>
          <w:b w:val="0"/>
          <w:i w:val="0"/>
        </w:rPr>
        <w:t xml:space="preserve">Divide students into small groups and distribute the </w:t>
      </w:r>
      <w:r w:rsidR="0034015C" w:rsidRPr="001D137C">
        <w:rPr>
          <w:rStyle w:val="BookTitle"/>
          <w:b w:val="0"/>
        </w:rPr>
        <w:t>Continuous</w:t>
      </w:r>
      <w:r w:rsidRPr="001D137C">
        <w:rPr>
          <w:rStyle w:val="BookTitle"/>
          <w:b w:val="0"/>
        </w:rPr>
        <w:t xml:space="preserve"> Learning: Showing What You Know </w:t>
      </w:r>
      <w:r w:rsidRPr="001D137C">
        <w:rPr>
          <w:rStyle w:val="BookTitle"/>
          <w:b w:val="0"/>
          <w:i w:val="0"/>
        </w:rPr>
        <w:t xml:space="preserve">handout. Read the activity options together. Have each group choose </w:t>
      </w:r>
      <w:r w:rsidR="001D137C" w:rsidRPr="001D137C">
        <w:rPr>
          <w:rStyle w:val="BookTitle"/>
          <w:b w:val="0"/>
          <w:i w:val="0"/>
        </w:rPr>
        <w:t>an</w:t>
      </w:r>
      <w:r w:rsidRPr="001D137C">
        <w:rPr>
          <w:rStyle w:val="BookTitle"/>
          <w:b w:val="0"/>
          <w:i w:val="0"/>
        </w:rPr>
        <w:t xml:space="preserve"> option </w:t>
      </w:r>
      <w:r w:rsidR="009A3F0C">
        <w:rPr>
          <w:rStyle w:val="BookTitle"/>
          <w:b w:val="0"/>
          <w:i w:val="0"/>
        </w:rPr>
        <w:t>and p</w:t>
      </w:r>
      <w:r w:rsidRPr="001D137C">
        <w:rPr>
          <w:rStyle w:val="BookTitle"/>
          <w:b w:val="0"/>
          <w:i w:val="0"/>
        </w:rPr>
        <w:t xml:space="preserve">rovide students with additional materials, if needed, and a timeline for completion. </w:t>
      </w:r>
    </w:p>
    <w:p w14:paraId="6F767C80" w14:textId="77777777" w:rsidR="00C24B6E" w:rsidRPr="009A3F0C" w:rsidRDefault="00C24B6E" w:rsidP="009A3F0C">
      <w:pPr>
        <w:rPr>
          <w:rFonts w:ascii="Garamond" w:hAnsi="Garamond"/>
        </w:rPr>
      </w:pPr>
    </w:p>
    <w:p w14:paraId="1154AE2C" w14:textId="3BC0651C" w:rsidR="00872683" w:rsidRPr="00C24B6E" w:rsidRDefault="00C24B6E" w:rsidP="00872683">
      <w:pPr>
        <w:pStyle w:val="ListParagraph"/>
        <w:numPr>
          <w:ilvl w:val="0"/>
          <w:numId w:val="6"/>
        </w:numPr>
        <w:rPr>
          <w:rStyle w:val="BookTitle"/>
          <w:rFonts w:ascii="Garamond" w:hAnsi="Garamond"/>
          <w:b w:val="0"/>
          <w:bCs w:val="0"/>
          <w:i w:val="0"/>
          <w:iCs w:val="0"/>
          <w:spacing w:val="0"/>
        </w:rPr>
      </w:pPr>
      <w:r>
        <w:rPr>
          <w:rStyle w:val="BookTitle"/>
        </w:rPr>
        <w:t xml:space="preserve">Share and discuss. </w:t>
      </w:r>
      <w:r w:rsidR="009A3F0C">
        <w:rPr>
          <w:rStyle w:val="BookTitle"/>
          <w:b w:val="0"/>
          <w:i w:val="0"/>
        </w:rPr>
        <w:t>Ask</w:t>
      </w:r>
      <w:r>
        <w:rPr>
          <w:rStyle w:val="BookTitle"/>
          <w:b w:val="0"/>
          <w:i w:val="0"/>
        </w:rPr>
        <w:t xml:space="preserve"> groups </w:t>
      </w:r>
      <w:r w:rsidR="009A3F0C">
        <w:rPr>
          <w:rStyle w:val="BookTitle"/>
          <w:b w:val="0"/>
          <w:i w:val="0"/>
        </w:rPr>
        <w:t xml:space="preserve">to </w:t>
      </w:r>
      <w:r w:rsidR="00B61D6E">
        <w:rPr>
          <w:rStyle w:val="BookTitle"/>
          <w:b w:val="0"/>
          <w:i w:val="0"/>
        </w:rPr>
        <w:t>present</w:t>
      </w:r>
      <w:r w:rsidR="00737C57">
        <w:rPr>
          <w:rStyle w:val="BookTitle"/>
          <w:b w:val="0"/>
          <w:i w:val="0"/>
        </w:rPr>
        <w:t xml:space="preserve"> </w:t>
      </w:r>
      <w:r w:rsidR="009A3F0C">
        <w:rPr>
          <w:rStyle w:val="BookTitle"/>
          <w:b w:val="0"/>
          <w:i w:val="0"/>
        </w:rPr>
        <w:t xml:space="preserve">their work </w:t>
      </w:r>
      <w:r w:rsidR="00737C57">
        <w:rPr>
          <w:rStyle w:val="BookTitle"/>
          <w:b w:val="0"/>
          <w:i w:val="0"/>
        </w:rPr>
        <w:t>to the class</w:t>
      </w:r>
      <w:r>
        <w:rPr>
          <w:rStyle w:val="BookTitle"/>
          <w:b w:val="0"/>
          <w:i w:val="0"/>
        </w:rPr>
        <w:t>. At the end of each presentation, encourage students to highlight the most important elements of their product and to answer any questions. Create a wall chart to record the various</w:t>
      </w:r>
      <w:r w:rsidR="00DE2ED4">
        <w:rPr>
          <w:rStyle w:val="BookTitle"/>
          <w:b w:val="0"/>
          <w:i w:val="0"/>
        </w:rPr>
        <w:t xml:space="preserve"> ways </w:t>
      </w:r>
      <w:r w:rsidR="009A3F0C">
        <w:rPr>
          <w:rStyle w:val="BookTitle"/>
          <w:b w:val="0"/>
          <w:i w:val="0"/>
        </w:rPr>
        <w:t>to</w:t>
      </w:r>
      <w:r w:rsidR="00DE2ED4">
        <w:rPr>
          <w:rStyle w:val="BookTitle"/>
          <w:b w:val="0"/>
          <w:i w:val="0"/>
        </w:rPr>
        <w:t xml:space="preserve"> demonstrat</w:t>
      </w:r>
      <w:r w:rsidR="009A3F0C">
        <w:rPr>
          <w:rStyle w:val="BookTitle"/>
          <w:b w:val="0"/>
          <w:i w:val="0"/>
        </w:rPr>
        <w:t>e continuous learning</w:t>
      </w:r>
      <w:r>
        <w:rPr>
          <w:rStyle w:val="BookTitle"/>
          <w:b w:val="0"/>
          <w:i w:val="0"/>
        </w:rPr>
        <w:t>. After the presentations and discussions are complete, ask students to take a step back</w:t>
      </w:r>
      <w:r w:rsidR="00D52BE3">
        <w:rPr>
          <w:rStyle w:val="BookTitle"/>
          <w:b w:val="0"/>
          <w:i w:val="0"/>
        </w:rPr>
        <w:t xml:space="preserve"> and think about </w:t>
      </w:r>
      <w:r w:rsidR="00D52BE3">
        <w:rPr>
          <w:rStyle w:val="BookTitle"/>
          <w:b w:val="0"/>
        </w:rPr>
        <w:t>why</w:t>
      </w:r>
      <w:r w:rsidR="00DE2ED4">
        <w:rPr>
          <w:rStyle w:val="BookTitle"/>
          <w:b w:val="0"/>
          <w:i w:val="0"/>
        </w:rPr>
        <w:t xml:space="preserve"> </w:t>
      </w:r>
      <w:r w:rsidR="009A3F0C">
        <w:rPr>
          <w:rStyle w:val="BookTitle"/>
          <w:b w:val="0"/>
          <w:i w:val="0"/>
        </w:rPr>
        <w:t>continuous learning is</w:t>
      </w:r>
      <w:r w:rsidR="00D52BE3">
        <w:rPr>
          <w:rStyle w:val="BookTitle"/>
          <w:b w:val="0"/>
          <w:i w:val="0"/>
        </w:rPr>
        <w:t xml:space="preserve"> important.</w:t>
      </w:r>
    </w:p>
    <w:p w14:paraId="13C918C9" w14:textId="77777777" w:rsidR="00C24B6E" w:rsidRPr="00C24B6E" w:rsidRDefault="00C24B6E" w:rsidP="00C24B6E">
      <w:pPr>
        <w:rPr>
          <w:rFonts w:ascii="Garamond" w:hAnsi="Garamond"/>
        </w:rPr>
      </w:pPr>
    </w:p>
    <w:p w14:paraId="355FA749" w14:textId="08944041" w:rsidR="00D85326" w:rsidRPr="009A3F0C" w:rsidRDefault="00AD44FE" w:rsidP="00502D9E">
      <w:pPr>
        <w:numPr>
          <w:ilvl w:val="0"/>
          <w:numId w:val="6"/>
        </w:numPr>
        <w:contextualSpacing/>
        <w:rPr>
          <w:rFonts w:ascii="Garamond" w:hAnsi="Garamond"/>
        </w:rPr>
      </w:pPr>
      <w:r>
        <w:rPr>
          <w:rStyle w:val="BookTitle"/>
        </w:rPr>
        <w:t>Seek out the “why</w:t>
      </w:r>
      <w:r w:rsidR="00D85326" w:rsidRPr="00D85326">
        <w:rPr>
          <w:rStyle w:val="BookTitle"/>
        </w:rPr>
        <w:t>.</w:t>
      </w:r>
      <w:r>
        <w:rPr>
          <w:rStyle w:val="BookTitle"/>
        </w:rPr>
        <w:t>”</w:t>
      </w:r>
      <w:r w:rsidR="00D85326" w:rsidRPr="009A3F0C">
        <w:rPr>
          <w:rFonts w:ascii="Garamond" w:hAnsi="Garamond"/>
        </w:rPr>
        <w:t xml:space="preserve"> </w:t>
      </w:r>
      <w:r w:rsidR="006F6618">
        <w:t xml:space="preserve">Ask: </w:t>
      </w:r>
      <w:r w:rsidR="006F6618" w:rsidRPr="009A3F0C">
        <w:rPr>
          <w:i/>
        </w:rPr>
        <w:t>Why</w:t>
      </w:r>
      <w:r w:rsidR="006F6618">
        <w:t xml:space="preserve"> do </w:t>
      </w:r>
      <w:r w:rsidR="009A3F0C">
        <w:t>people</w:t>
      </w:r>
      <w:r w:rsidR="006F6618">
        <w:t xml:space="preserve"> try to get better at hobb</w:t>
      </w:r>
      <w:r w:rsidR="009A3F0C">
        <w:t>ies</w:t>
      </w:r>
      <w:r w:rsidR="006F6618">
        <w:t>, sport</w:t>
      </w:r>
      <w:r w:rsidR="009A3F0C">
        <w:t>s</w:t>
      </w:r>
      <w:r w:rsidR="006F6618">
        <w:t>, or activit</w:t>
      </w:r>
      <w:r w:rsidR="009A3F0C">
        <w:t>ies</w:t>
      </w:r>
      <w:r w:rsidR="006F6618">
        <w:t>? Solicit students’ answers, providing example</w:t>
      </w:r>
      <w:r w:rsidR="009A3F0C">
        <w:t>s</w:t>
      </w:r>
      <w:r w:rsidR="006F6618">
        <w:t xml:space="preserve"> if needed.</w:t>
      </w:r>
      <w:r w:rsidR="00EE40CA">
        <w:t xml:space="preserve"> Responses may include, but are not limited to</w:t>
      </w:r>
      <w:r w:rsidR="009A3F0C">
        <w:t>,</w:t>
      </w:r>
      <w:r w:rsidR="00EE40CA">
        <w:t xml:space="preserve"> work</w:t>
      </w:r>
      <w:r w:rsidR="009A3F0C">
        <w:t>ing</w:t>
      </w:r>
      <w:r w:rsidR="00EE40CA">
        <w:t xml:space="preserve"> towar</w:t>
      </w:r>
      <w:r w:rsidR="00E5699C">
        <w:t>d an award or other recognition,</w:t>
      </w:r>
      <w:r w:rsidR="00EE40CA">
        <w:t xml:space="preserve"> participat</w:t>
      </w:r>
      <w:r w:rsidR="009A3F0C">
        <w:t>ing</w:t>
      </w:r>
      <w:r w:rsidR="00EE40CA">
        <w:t xml:space="preserve"> at a more advanced le</w:t>
      </w:r>
      <w:r w:rsidR="00E5699C">
        <w:t>vel or with more advanced peers, increas</w:t>
      </w:r>
      <w:r w:rsidR="009A3F0C">
        <w:t>ing</w:t>
      </w:r>
      <w:r w:rsidR="00E5699C">
        <w:t xml:space="preserve"> self-confidence,</w:t>
      </w:r>
      <w:r w:rsidR="00EE40CA">
        <w:t xml:space="preserve"> or simply do</w:t>
      </w:r>
      <w:r w:rsidR="009A3F0C">
        <w:t>ing</w:t>
      </w:r>
      <w:r w:rsidR="00EE40CA">
        <w:t xml:space="preserve"> more of what they love.</w:t>
      </w:r>
      <w:r w:rsidR="009A3F0C">
        <w:t xml:space="preserve"> </w:t>
      </w:r>
      <w:r>
        <w:t xml:space="preserve">Tell students that these reasons may also apply to </w:t>
      </w:r>
      <w:r w:rsidR="009A3F0C">
        <w:t>continuing learning</w:t>
      </w:r>
      <w:r>
        <w:t xml:space="preserve"> in the workplace. Ask them to think of additional advantages to learning new </w:t>
      </w:r>
      <w:r w:rsidR="00B61D6E">
        <w:t>career-related information and skills</w:t>
      </w:r>
      <w:r>
        <w:t>.</w:t>
      </w:r>
      <w:r w:rsidR="00D52BE3">
        <w:t xml:space="preserve"> </w:t>
      </w:r>
    </w:p>
    <w:p w14:paraId="0951724F" w14:textId="77777777" w:rsidR="00D20D2E" w:rsidRDefault="00D20D2E" w:rsidP="00D20D2E">
      <w:pPr>
        <w:pStyle w:val="ListParagraph"/>
      </w:pPr>
    </w:p>
    <w:p w14:paraId="4A14A14E" w14:textId="38B1995D" w:rsidR="00D20D2E" w:rsidRDefault="00D20D2E" w:rsidP="00D20D2E">
      <w:pPr>
        <w:numPr>
          <w:ilvl w:val="0"/>
          <w:numId w:val="6"/>
        </w:numPr>
        <w:contextualSpacing/>
      </w:pPr>
      <w:r>
        <w:rPr>
          <w:b/>
          <w:i/>
        </w:rPr>
        <w:t xml:space="preserve">Debrief and what’s next. </w:t>
      </w:r>
      <w:r w:rsidR="00D52BE3" w:rsidRPr="00D52BE3">
        <w:t>To conclude the discussion, and/or as an exit ticket for the day, have students complete the prompts on the back of the handout.</w:t>
      </w:r>
      <w:r w:rsidR="00D52BE3">
        <w:t xml:space="preserve"> </w:t>
      </w:r>
      <w:r w:rsidR="009A3F0C">
        <w:t>R</w:t>
      </w:r>
      <w:r w:rsidR="00074301">
        <w:t>emind students that you will continue to refer to th</w:t>
      </w:r>
      <w:r w:rsidR="00E5699C">
        <w:t>ese skills throughout the year. T</w:t>
      </w:r>
      <w:r w:rsidR="00074301">
        <w:t>hat’s what</w:t>
      </w:r>
      <w:r w:rsidR="001D137C">
        <w:t xml:space="preserve"> continuous </w:t>
      </w:r>
      <w:r w:rsidR="00074301">
        <w:t>learning is about, after all!</w:t>
      </w:r>
    </w:p>
    <w:p w14:paraId="4D9509D9" w14:textId="77777777" w:rsidR="00187AFF" w:rsidRPr="00187AFF" w:rsidRDefault="00187AFF" w:rsidP="00187AFF"/>
    <w:p w14:paraId="69A7B01B" w14:textId="77777777" w:rsidR="00495B9C" w:rsidRPr="00D1126E" w:rsidRDefault="00187AFF" w:rsidP="00D1126E">
      <w:pPr>
        <w:pStyle w:val="Subtitle"/>
        <w:rPr>
          <w:b/>
        </w:rPr>
      </w:pPr>
      <w:r w:rsidRPr="00187AFF">
        <w:t>Formative Assessment</w:t>
      </w:r>
      <w:r w:rsidRPr="00187AFF">
        <w:rPr>
          <w:b/>
        </w:rPr>
        <w:t xml:space="preserve">: </w:t>
      </w:r>
    </w:p>
    <w:p w14:paraId="7891CF9E" w14:textId="5CBA6265" w:rsidR="00187AFF" w:rsidRDefault="00D86044" w:rsidP="00D86044">
      <w:pPr>
        <w:pStyle w:val="ListParagraph"/>
        <w:numPr>
          <w:ilvl w:val="0"/>
          <w:numId w:val="7"/>
        </w:numPr>
      </w:pPr>
      <w:r>
        <w:t xml:space="preserve">Use your observations of students as they complete the activities to identify misconceptions and questions. </w:t>
      </w:r>
      <w:r w:rsidR="005D7F43">
        <w:t>Address these as appropriate</w:t>
      </w:r>
      <w:r w:rsidR="00074301">
        <w:t>.</w:t>
      </w:r>
    </w:p>
    <w:p w14:paraId="0230C69B" w14:textId="280D8074" w:rsidR="00136B7A" w:rsidRDefault="00136B7A" w:rsidP="00D86044">
      <w:pPr>
        <w:pStyle w:val="ListParagraph"/>
        <w:numPr>
          <w:ilvl w:val="0"/>
          <w:numId w:val="7"/>
        </w:numPr>
      </w:pPr>
      <w:r>
        <w:t xml:space="preserve">Responses </w:t>
      </w:r>
      <w:r w:rsidR="00074301">
        <w:t>to</w:t>
      </w:r>
      <w:r>
        <w:t xml:space="preserve"> the </w:t>
      </w:r>
      <w:r w:rsidR="00074301">
        <w:t>exit ticket questions</w:t>
      </w:r>
      <w:r>
        <w:t xml:space="preserve"> can provide evidence of student understanding or misconceptions. </w:t>
      </w:r>
    </w:p>
    <w:p w14:paraId="0CD6C960" w14:textId="77777777" w:rsidR="00187AFF" w:rsidRPr="00187AFF" w:rsidRDefault="00187AFF" w:rsidP="00187AFF"/>
    <w:p w14:paraId="1A8C35EE" w14:textId="77777777" w:rsidR="005C6183" w:rsidRPr="005C6183" w:rsidRDefault="005C6183" w:rsidP="005C6183">
      <w:pPr>
        <w:widowControl w:val="0"/>
        <w:spacing w:after="160"/>
        <w:rPr>
          <w:rFonts w:ascii="Calibri" w:eastAsia="Calibri" w:hAnsi="Calibri" w:cs="Calibri"/>
          <w:color w:val="5A5A5A"/>
        </w:rPr>
      </w:pPr>
      <w:r w:rsidRPr="005C6183">
        <w:rPr>
          <w:rFonts w:ascii="Calibri" w:eastAsia="Calibri" w:hAnsi="Calibri" w:cs="Calibri"/>
          <w:color w:val="5A5A5A"/>
        </w:rPr>
        <w:t>Options for Adaptation/Differentiation:</w:t>
      </w:r>
    </w:p>
    <w:p w14:paraId="5020EF61" w14:textId="01D17B37" w:rsidR="005C6183" w:rsidRDefault="009A3F0C" w:rsidP="009A3F0C">
      <w:pPr>
        <w:pStyle w:val="ListParagraph"/>
        <w:numPr>
          <w:ilvl w:val="0"/>
          <w:numId w:val="15"/>
        </w:numPr>
      </w:pPr>
      <w:r>
        <w:t xml:space="preserve">Complete an activity from the handout, </w:t>
      </w:r>
      <w:r w:rsidRPr="009A3F0C">
        <w:rPr>
          <w:i/>
        </w:rPr>
        <w:t>Continuous Learning: Showing What You Know</w:t>
      </w:r>
      <w:r>
        <w:t>, as a whole-class discussion.</w:t>
      </w:r>
    </w:p>
    <w:p w14:paraId="5C709A29" w14:textId="176749BE" w:rsidR="009A3F0C" w:rsidRDefault="009A3F0C" w:rsidP="009A3F0C">
      <w:pPr>
        <w:pStyle w:val="ListParagraph"/>
        <w:numPr>
          <w:ilvl w:val="0"/>
          <w:numId w:val="15"/>
        </w:numPr>
      </w:pPr>
      <w:r>
        <w:t>To extend the activity, ask students to use the Internet to research continuous-learning opportunities in their areas of interest.</w:t>
      </w:r>
    </w:p>
    <w:p w14:paraId="5E5A0AFF" w14:textId="77777777" w:rsidR="009A3F0C" w:rsidRDefault="009A3F0C" w:rsidP="009A3F0C">
      <w:pPr>
        <w:pStyle w:val="ListParagraph"/>
      </w:pPr>
    </w:p>
    <w:p w14:paraId="26F82DC9" w14:textId="01A272F6" w:rsidR="00187AFF" w:rsidRPr="00187AFF" w:rsidRDefault="00187AFF" w:rsidP="00D1126E">
      <w:pPr>
        <w:pStyle w:val="Subtitle"/>
      </w:pPr>
      <w:r w:rsidRPr="00187AFF">
        <w:t xml:space="preserve">Suggestions for Follow-up: </w:t>
      </w:r>
    </w:p>
    <w:p w14:paraId="1A013D8E" w14:textId="481E7D79" w:rsidR="00187AFF" w:rsidRDefault="00074301" w:rsidP="00187AFF">
      <w:pPr>
        <w:numPr>
          <w:ilvl w:val="0"/>
          <w:numId w:val="3"/>
        </w:numPr>
      </w:pPr>
      <w:r>
        <w:t xml:space="preserve">Make the group products available in the classroom for further exploration. </w:t>
      </w:r>
    </w:p>
    <w:p w14:paraId="54C05DFA" w14:textId="2323E248" w:rsidR="00074301" w:rsidRDefault="00074301" w:rsidP="00187AFF">
      <w:pPr>
        <w:numPr>
          <w:ilvl w:val="0"/>
          <w:numId w:val="3"/>
        </w:numPr>
      </w:pPr>
      <w:r>
        <w:t xml:space="preserve">If you created a wall chart during the discussion, post </w:t>
      </w:r>
      <w:r w:rsidR="009A3F0C">
        <w:t xml:space="preserve">it </w:t>
      </w:r>
      <w:r>
        <w:t>in the classroom.</w:t>
      </w:r>
    </w:p>
    <w:p w14:paraId="492292DB" w14:textId="4E68C150" w:rsidR="005C6183" w:rsidRDefault="005C6183" w:rsidP="005C6183"/>
    <w:p w14:paraId="06CD0C94" w14:textId="036846D6" w:rsidR="005C6183" w:rsidRPr="005C6183" w:rsidRDefault="005C6183" w:rsidP="005C6183">
      <w:pPr>
        <w:widowControl w:val="0"/>
        <w:spacing w:after="160"/>
        <w:rPr>
          <w:rFonts w:ascii="Calibri" w:eastAsia="Calibri" w:hAnsi="Calibri" w:cs="Calibri"/>
          <w:color w:val="5A5A5A"/>
        </w:rPr>
      </w:pPr>
      <w:r w:rsidRPr="005C6183">
        <w:rPr>
          <w:rFonts w:ascii="Calibri" w:eastAsia="Calibri" w:hAnsi="Calibri" w:cs="Calibri"/>
          <w:color w:val="5A5A5A"/>
        </w:rPr>
        <w:t>Teacher Resources</w:t>
      </w:r>
      <w:r>
        <w:rPr>
          <w:rFonts w:ascii="Calibri" w:eastAsia="Calibri" w:hAnsi="Calibri" w:cs="Calibri"/>
          <w:color w:val="5A5A5A"/>
        </w:rPr>
        <w:t>:</w:t>
      </w:r>
    </w:p>
    <w:p w14:paraId="79CBEF5D" w14:textId="77777777" w:rsidR="005C6183" w:rsidRPr="005C6183" w:rsidRDefault="000C6397" w:rsidP="005C6183">
      <w:pPr>
        <w:widowControl w:val="0"/>
        <w:rPr>
          <w:rFonts w:ascii="Calibri" w:eastAsia="Calibri" w:hAnsi="Calibri" w:cs="Calibri"/>
          <w:color w:val="000000"/>
        </w:rPr>
      </w:pPr>
      <w:hyperlink r:id="rId9">
        <w:r w:rsidR="005C6183" w:rsidRPr="005C6183">
          <w:rPr>
            <w:rFonts w:ascii="Calibri" w:eastAsia="Calibri" w:hAnsi="Calibri" w:cs="Calibri"/>
            <w:color w:val="0563C1"/>
            <w:u w:val="single"/>
          </w:rPr>
          <w:t>Soft Skills to Pay the Bills — Mastering Soft Skills for Workplace Success</w:t>
        </w:r>
      </w:hyperlink>
      <w:r w:rsidR="005C6183" w:rsidRPr="005C6183">
        <w:rPr>
          <w:rFonts w:ascii="Calibri" w:eastAsia="Calibri" w:hAnsi="Calibri" w:cs="Calibri"/>
          <w:color w:val="000000"/>
        </w:rPr>
        <w:t xml:space="preserve"> (</w:t>
      </w:r>
      <w:hyperlink r:id="rId10">
        <w:r w:rsidR="005C6183" w:rsidRPr="005C6183">
          <w:rPr>
            <w:rFonts w:ascii="Calibri" w:eastAsia="Calibri" w:hAnsi="Calibri" w:cs="Calibri"/>
            <w:color w:val="0563C1"/>
            <w:u w:val="single"/>
          </w:rPr>
          <w:t>https://www.dol.gov/odep/topics/youth/softskills/</w:t>
        </w:r>
      </w:hyperlink>
      <w:r w:rsidR="005C6183" w:rsidRPr="005C6183">
        <w:rPr>
          <w:rFonts w:ascii="Calibri" w:eastAsia="Calibri" w:hAnsi="Calibri" w:cs="Calibri"/>
          <w:color w:val="000000"/>
        </w:rPr>
        <w:t>), U.S. Department of Labor, Office of Disability Employment Policy.</w:t>
      </w:r>
    </w:p>
    <w:p w14:paraId="1FAAC816" w14:textId="77777777" w:rsidR="005C6183" w:rsidRPr="005C6183" w:rsidRDefault="005C6183" w:rsidP="005C6183">
      <w:pPr>
        <w:widowControl w:val="0"/>
        <w:rPr>
          <w:rFonts w:ascii="Calibri" w:eastAsia="Calibri" w:hAnsi="Calibri" w:cs="Calibri"/>
          <w:color w:val="000000"/>
        </w:rPr>
      </w:pPr>
    </w:p>
    <w:p w14:paraId="75CAACDC" w14:textId="77777777" w:rsidR="005C6183" w:rsidRPr="005C6183" w:rsidRDefault="000C6397" w:rsidP="005C6183">
      <w:pPr>
        <w:widowControl w:val="0"/>
        <w:rPr>
          <w:rFonts w:ascii="Calibri" w:eastAsia="Calibri" w:hAnsi="Calibri" w:cs="Calibri"/>
          <w:color w:val="000000"/>
        </w:rPr>
      </w:pPr>
      <w:hyperlink r:id="rId11">
        <w:r w:rsidR="005C6183" w:rsidRPr="005C6183">
          <w:rPr>
            <w:rFonts w:ascii="Calibri" w:eastAsia="Calibri" w:hAnsi="Calibri" w:cs="Calibri"/>
            <w:color w:val="0563C1"/>
            <w:u w:val="single"/>
          </w:rPr>
          <w:t>Workplace Readiness Skills (WRS) Assessment: Virginia Overview</w:t>
        </w:r>
      </w:hyperlink>
      <w:r w:rsidR="005C6183" w:rsidRPr="005C6183">
        <w:rPr>
          <w:rFonts w:ascii="Calibri" w:eastAsia="Calibri" w:hAnsi="Calibri" w:cs="Calibri"/>
          <w:color w:val="000000"/>
        </w:rPr>
        <w:t xml:space="preserve"> (</w:t>
      </w:r>
      <w:hyperlink r:id="rId12">
        <w:r w:rsidR="005C6183" w:rsidRPr="005C6183">
          <w:rPr>
            <w:rFonts w:ascii="Calibri" w:eastAsia="Calibri" w:hAnsi="Calibri" w:cs="Calibri"/>
            <w:color w:val="0563C1"/>
            <w:u w:val="single"/>
          </w:rPr>
          <w:t>https://www.ctecs.org/virginia/virginia-overview</w:t>
        </w:r>
      </w:hyperlink>
      <w:r w:rsidR="005C6183" w:rsidRPr="005C6183">
        <w:rPr>
          <w:rFonts w:ascii="Calibri" w:eastAsia="Calibri" w:hAnsi="Calibri" w:cs="Calibri"/>
          <w:color w:val="000000"/>
        </w:rPr>
        <w:t xml:space="preserve">), Career and Technical Education Consortium of States (CTECS). </w:t>
      </w:r>
    </w:p>
    <w:p w14:paraId="7B566EF3" w14:textId="77777777" w:rsidR="005C6183" w:rsidRPr="005C6183" w:rsidRDefault="005C6183" w:rsidP="005C6183">
      <w:pPr>
        <w:widowControl w:val="0"/>
        <w:rPr>
          <w:rFonts w:ascii="Calibri" w:eastAsia="Calibri" w:hAnsi="Calibri" w:cs="Calibri"/>
          <w:color w:val="000000"/>
        </w:rPr>
      </w:pPr>
    </w:p>
    <w:p w14:paraId="38523D65" w14:textId="77E0B714" w:rsidR="005C6183" w:rsidRPr="005C6183" w:rsidRDefault="000C6397" w:rsidP="000C6397">
      <w:pPr>
        <w:widowControl w:val="0"/>
        <w:rPr>
          <w:rFonts w:ascii="Calibri" w:eastAsia="Calibri" w:hAnsi="Calibri" w:cs="Calibri"/>
          <w:color w:val="000000"/>
        </w:rPr>
      </w:pPr>
      <w:hyperlink r:id="rId13" w:history="1">
        <w:r w:rsidR="005C6183" w:rsidRPr="005C6183">
          <w:rPr>
            <w:rFonts w:ascii="Calibri" w:eastAsia="Calibri" w:hAnsi="Calibri" w:cs="Calibri"/>
            <w:color w:val="0563C1" w:themeColor="hyperlink"/>
            <w:u w:val="single"/>
          </w:rPr>
          <w:t>Workplace Readiness Skills (WRS) for the Commonwealth: Instructional Resources</w:t>
        </w:r>
      </w:hyperlink>
      <w:r w:rsidR="005C6183" w:rsidRPr="005C6183">
        <w:rPr>
          <w:rFonts w:ascii="Calibri" w:eastAsia="Calibri" w:hAnsi="Calibri" w:cs="Calibri"/>
          <w:color w:val="000000"/>
        </w:rPr>
        <w:t xml:space="preserve"> (</w:t>
      </w:r>
      <w:hyperlink r:id="rId14" w:history="1">
        <w:r w:rsidR="005C6183" w:rsidRPr="005C6183">
          <w:rPr>
            <w:rFonts w:ascii="Calibri" w:eastAsia="Calibri" w:hAnsi="Calibri" w:cs="Calibri"/>
            <w:color w:val="0563C1" w:themeColor="hyperlink"/>
            <w:u w:val="single"/>
          </w:rPr>
          <w:t>http://cteresource.org/wrs/index.html</w:t>
        </w:r>
      </w:hyperlink>
      <w:r w:rsidR="005C6183" w:rsidRPr="005C6183">
        <w:rPr>
          <w:rFonts w:ascii="Calibri" w:eastAsia="Calibri" w:hAnsi="Calibri" w:cs="Calibri"/>
          <w:color w:val="000000"/>
        </w:rPr>
        <w:t>), Career and Technical Education (CTE) Resource Center.</w:t>
      </w:r>
      <w:bookmarkStart w:id="0" w:name="_GoBack"/>
      <w:bookmarkEnd w:id="0"/>
      <w:r w:rsidRPr="005C6183">
        <w:rPr>
          <w:rFonts w:ascii="Calibri" w:eastAsia="Calibri" w:hAnsi="Calibri" w:cs="Calibri"/>
          <w:color w:val="000000"/>
        </w:rPr>
        <w:t xml:space="preserve"> </w:t>
      </w:r>
    </w:p>
    <w:p w14:paraId="23CCE72A" w14:textId="77777777" w:rsidR="005C6183" w:rsidRDefault="005C6183" w:rsidP="005C6183"/>
    <w:sectPr w:rsidR="005C6183" w:rsidSect="00D112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D8B8F" w14:textId="77777777" w:rsidR="005C3721" w:rsidRDefault="005C3721" w:rsidP="00D75AFD">
      <w:r>
        <w:separator/>
      </w:r>
    </w:p>
  </w:endnote>
  <w:endnote w:type="continuationSeparator" w:id="0">
    <w:p w14:paraId="7CD14455" w14:textId="77777777" w:rsidR="005C3721" w:rsidRDefault="005C3721" w:rsidP="00D7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CB61" w14:textId="77777777" w:rsidR="00D75AFD" w:rsidRDefault="00D75A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26BF" w14:textId="77777777" w:rsidR="00D75AFD" w:rsidRDefault="00D75A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00A3" w14:textId="77777777" w:rsidR="00D75AFD" w:rsidRDefault="00D75A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81891" w14:textId="77777777" w:rsidR="005C3721" w:rsidRDefault="005C3721" w:rsidP="00D75AFD">
      <w:r>
        <w:separator/>
      </w:r>
    </w:p>
  </w:footnote>
  <w:footnote w:type="continuationSeparator" w:id="0">
    <w:p w14:paraId="0DB92928" w14:textId="77777777" w:rsidR="005C3721" w:rsidRDefault="005C3721" w:rsidP="00D75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9B98C" w14:textId="77777777" w:rsidR="00D75AFD" w:rsidRDefault="00D75A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4F42" w14:textId="3F240405" w:rsidR="00D75AFD" w:rsidRDefault="00D75AF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2A65" w14:textId="77777777" w:rsidR="00D75AFD" w:rsidRDefault="00D75A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63F"/>
    <w:multiLevelType w:val="hybridMultilevel"/>
    <w:tmpl w:val="AAC4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D8E"/>
    <w:multiLevelType w:val="hybridMultilevel"/>
    <w:tmpl w:val="599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02EC"/>
    <w:multiLevelType w:val="hybridMultilevel"/>
    <w:tmpl w:val="705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36E"/>
    <w:multiLevelType w:val="hybridMultilevel"/>
    <w:tmpl w:val="433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31A08"/>
    <w:multiLevelType w:val="hybridMultilevel"/>
    <w:tmpl w:val="A9AC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5584E"/>
    <w:multiLevelType w:val="hybridMultilevel"/>
    <w:tmpl w:val="D620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F32A0"/>
    <w:multiLevelType w:val="hybridMultilevel"/>
    <w:tmpl w:val="C5B6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D6921"/>
    <w:multiLevelType w:val="hybridMultilevel"/>
    <w:tmpl w:val="774C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D5DBE"/>
    <w:multiLevelType w:val="hybridMultilevel"/>
    <w:tmpl w:val="313A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6276C"/>
    <w:multiLevelType w:val="hybridMultilevel"/>
    <w:tmpl w:val="1F9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84420"/>
    <w:multiLevelType w:val="hybridMultilevel"/>
    <w:tmpl w:val="CB088BDA"/>
    <w:lvl w:ilvl="0" w:tplc="E398E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E6CB3"/>
    <w:multiLevelType w:val="hybridMultilevel"/>
    <w:tmpl w:val="B52E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01213"/>
    <w:multiLevelType w:val="hybridMultilevel"/>
    <w:tmpl w:val="46D8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34A64"/>
    <w:multiLevelType w:val="hybridMultilevel"/>
    <w:tmpl w:val="1AE2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FF"/>
    <w:rsid w:val="00023371"/>
    <w:rsid w:val="00043947"/>
    <w:rsid w:val="000655AA"/>
    <w:rsid w:val="00074301"/>
    <w:rsid w:val="00080819"/>
    <w:rsid w:val="000B1EF2"/>
    <w:rsid w:val="000C6397"/>
    <w:rsid w:val="00136B7A"/>
    <w:rsid w:val="00162612"/>
    <w:rsid w:val="00187AFF"/>
    <w:rsid w:val="001B1217"/>
    <w:rsid w:val="001B7067"/>
    <w:rsid w:val="001C48F6"/>
    <w:rsid w:val="001D137C"/>
    <w:rsid w:val="001F35F1"/>
    <w:rsid w:val="002525CA"/>
    <w:rsid w:val="00264013"/>
    <w:rsid w:val="00277F2B"/>
    <w:rsid w:val="002924BF"/>
    <w:rsid w:val="00295A02"/>
    <w:rsid w:val="002B5BA4"/>
    <w:rsid w:val="002C3823"/>
    <w:rsid w:val="002D20D4"/>
    <w:rsid w:val="002E4D3E"/>
    <w:rsid w:val="00303424"/>
    <w:rsid w:val="0034015C"/>
    <w:rsid w:val="00353710"/>
    <w:rsid w:val="003706B8"/>
    <w:rsid w:val="00377523"/>
    <w:rsid w:val="003C4A77"/>
    <w:rsid w:val="00464FBD"/>
    <w:rsid w:val="00495B9C"/>
    <w:rsid w:val="004A7757"/>
    <w:rsid w:val="004C6465"/>
    <w:rsid w:val="005032E8"/>
    <w:rsid w:val="0054264F"/>
    <w:rsid w:val="0059336D"/>
    <w:rsid w:val="005C3721"/>
    <w:rsid w:val="005C6183"/>
    <w:rsid w:val="005D7F43"/>
    <w:rsid w:val="006B6534"/>
    <w:rsid w:val="006B7016"/>
    <w:rsid w:val="006F6618"/>
    <w:rsid w:val="00720DCF"/>
    <w:rsid w:val="00737C57"/>
    <w:rsid w:val="007458FC"/>
    <w:rsid w:val="00745B7E"/>
    <w:rsid w:val="00784FD5"/>
    <w:rsid w:val="007870FA"/>
    <w:rsid w:val="007B0E46"/>
    <w:rsid w:val="007B7EF5"/>
    <w:rsid w:val="0082187E"/>
    <w:rsid w:val="00834977"/>
    <w:rsid w:val="00840742"/>
    <w:rsid w:val="00841AE7"/>
    <w:rsid w:val="0086260C"/>
    <w:rsid w:val="00872683"/>
    <w:rsid w:val="008A6D94"/>
    <w:rsid w:val="008B0676"/>
    <w:rsid w:val="00986396"/>
    <w:rsid w:val="009A3F0C"/>
    <w:rsid w:val="009C7F21"/>
    <w:rsid w:val="00A12D9D"/>
    <w:rsid w:val="00A1409C"/>
    <w:rsid w:val="00A2762B"/>
    <w:rsid w:val="00A51816"/>
    <w:rsid w:val="00A66262"/>
    <w:rsid w:val="00A835AE"/>
    <w:rsid w:val="00A86A78"/>
    <w:rsid w:val="00A90612"/>
    <w:rsid w:val="00AA5F9E"/>
    <w:rsid w:val="00AD44FE"/>
    <w:rsid w:val="00B46AB0"/>
    <w:rsid w:val="00B60089"/>
    <w:rsid w:val="00B604A7"/>
    <w:rsid w:val="00B61D6E"/>
    <w:rsid w:val="00B65AF5"/>
    <w:rsid w:val="00BF25D3"/>
    <w:rsid w:val="00C24B6E"/>
    <w:rsid w:val="00C3040C"/>
    <w:rsid w:val="00C35950"/>
    <w:rsid w:val="00C3635E"/>
    <w:rsid w:val="00C82AD0"/>
    <w:rsid w:val="00CA457E"/>
    <w:rsid w:val="00D10EBF"/>
    <w:rsid w:val="00D1126E"/>
    <w:rsid w:val="00D20D2E"/>
    <w:rsid w:val="00D22B10"/>
    <w:rsid w:val="00D26BF2"/>
    <w:rsid w:val="00D30D78"/>
    <w:rsid w:val="00D52BE3"/>
    <w:rsid w:val="00D75AFD"/>
    <w:rsid w:val="00D85326"/>
    <w:rsid w:val="00D86044"/>
    <w:rsid w:val="00D950D5"/>
    <w:rsid w:val="00DC6C0B"/>
    <w:rsid w:val="00DD7EFB"/>
    <w:rsid w:val="00DE2ED4"/>
    <w:rsid w:val="00DE4062"/>
    <w:rsid w:val="00DE4A14"/>
    <w:rsid w:val="00E11FAE"/>
    <w:rsid w:val="00E251DE"/>
    <w:rsid w:val="00E5699C"/>
    <w:rsid w:val="00E77F05"/>
    <w:rsid w:val="00E820EE"/>
    <w:rsid w:val="00ED1F78"/>
    <w:rsid w:val="00EE40CA"/>
    <w:rsid w:val="00F14B46"/>
    <w:rsid w:val="00F26613"/>
    <w:rsid w:val="00F408C0"/>
    <w:rsid w:val="00F704E6"/>
    <w:rsid w:val="00F87FE7"/>
    <w:rsid w:val="00F96B22"/>
    <w:rsid w:val="00FA0ED0"/>
    <w:rsid w:val="00FA1144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E94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3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3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dol.gov/odep/topics/youth/softskills/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dol.gov/odep/topics/youth/softskills/" TargetMode="External"/><Relationship Id="rId11" Type="http://schemas.openxmlformats.org/officeDocument/2006/relationships/hyperlink" Target="https://www.ctecs.org/virginia/virginia-overview" TargetMode="External"/><Relationship Id="rId12" Type="http://schemas.openxmlformats.org/officeDocument/2006/relationships/hyperlink" Target="https://www.ctecs.org/virginia/virginia-overview" TargetMode="External"/><Relationship Id="rId13" Type="http://schemas.openxmlformats.org/officeDocument/2006/relationships/hyperlink" Target="http://cteresource.org/wrs/index.html" TargetMode="External"/><Relationship Id="rId14" Type="http://schemas.openxmlformats.org/officeDocument/2006/relationships/hyperlink" Target="http://cteresource.org/wrs/index.html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</dc:creator>
  <cp:keywords/>
  <dc:description/>
  <cp:lastModifiedBy>npope</cp:lastModifiedBy>
  <cp:revision>2</cp:revision>
  <cp:lastPrinted>2019-05-22T13:24:00Z</cp:lastPrinted>
  <dcterms:created xsi:type="dcterms:W3CDTF">2019-07-23T13:51:00Z</dcterms:created>
  <dcterms:modified xsi:type="dcterms:W3CDTF">2019-07-23T13:51:00Z</dcterms:modified>
</cp:coreProperties>
</file>