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985F00" w:rsidRPr="00654C6B" w:rsidRDefault="00985F00" w:rsidP="00985F00">
      <w:pPr>
        <w:pStyle w:val="Title"/>
      </w:pPr>
      <w:r>
        <w:rPr>
          <w:spacing w:val="-20"/>
        </w:rPr>
        <w:t xml:space="preserve">Demonstrating </w:t>
      </w:r>
      <w:r w:rsidR="00E57DDC">
        <w:rPr>
          <w:spacing w:val="-20"/>
        </w:rPr>
        <w:t>Listening and Speaking Skills</w:t>
      </w:r>
      <w:r>
        <w:rPr>
          <w:spacing w:val="-20"/>
        </w:rPr>
        <w:br/>
      </w:r>
      <w:r w:rsidR="00E57DDC">
        <w:rPr>
          <w:spacing w:val="-20"/>
          <w:sz w:val="44"/>
          <w:szCs w:val="44"/>
        </w:rPr>
        <w:t>Be a YouTube Career Superstar</w:t>
      </w:r>
      <w:r w:rsidR="0008249D">
        <w:rPr>
          <w:spacing w:val="-20"/>
          <w:sz w:val="44"/>
          <w:szCs w:val="44"/>
        </w:rPr>
        <w:t xml:space="preserve"> </w:t>
      </w:r>
    </w:p>
    <w:p w:rsidR="004F32A2" w:rsidRDefault="004F32A2"/>
    <w:p w:rsidR="00E57DDC" w:rsidRDefault="00661427">
      <w:r>
        <w:rPr>
          <w:color w:val="5A5A5A"/>
        </w:rPr>
        <w:t>Objective</w:t>
      </w:r>
      <w:r w:rsidR="003035D0">
        <w:t>: Students will</w:t>
      </w:r>
      <w:r w:rsidR="00985F00">
        <w:t xml:space="preserve"> </w:t>
      </w:r>
      <w:r w:rsidR="00E57DDC">
        <w:t>research careers in areas</w:t>
      </w:r>
      <w:r w:rsidR="00CE2A8A">
        <w:t xml:space="preserve"> of interest and create </w:t>
      </w:r>
      <w:r w:rsidR="00E57DDC">
        <w:t>videos describing what they’ve learned; students will demonstrate best practices in speaking effectively for an audience.</w:t>
      </w:r>
    </w:p>
    <w:p w:rsidR="00D90FF5" w:rsidRDefault="00AC26D3">
      <w:r>
        <w:t xml:space="preserve"> </w:t>
      </w:r>
    </w:p>
    <w:p w:rsidR="00E57DDC" w:rsidRDefault="00661427" w:rsidP="00E57DDC">
      <w:r>
        <w:rPr>
          <w:color w:val="5A5A5A"/>
        </w:rPr>
        <w:t>Workplace Readiness Skill:</w:t>
      </w:r>
      <w:r>
        <w:t xml:space="preserve"> </w:t>
      </w:r>
      <w:r w:rsidR="00E57DDC" w:rsidRPr="00E57DDC">
        <w:rPr>
          <w:b/>
        </w:rPr>
        <w:t xml:space="preserve">Demonstrate </w:t>
      </w:r>
      <w:r w:rsidR="00B45615">
        <w:rPr>
          <w:b/>
        </w:rPr>
        <w:t>listening and speaking</w:t>
      </w:r>
      <w:r w:rsidR="00E57DDC" w:rsidRPr="00E57DDC">
        <w:rPr>
          <w:b/>
        </w:rPr>
        <w:t xml:space="preserve"> skills.</w:t>
      </w:r>
    </w:p>
    <w:p w:rsidR="00E57DDC" w:rsidRDefault="00E57DDC" w:rsidP="00E57DDC"/>
    <w:p w:rsidR="00B45615" w:rsidRPr="00B45615" w:rsidRDefault="00B45615" w:rsidP="00B45615">
      <w:pPr>
        <w:pStyle w:val="ListParagraph"/>
        <w:ind w:left="0"/>
        <w:rPr>
          <w:i/>
        </w:rPr>
      </w:pPr>
      <w:r w:rsidRPr="00B45615">
        <w:rPr>
          <w:i/>
        </w:rPr>
        <w:t xml:space="preserve">Demonstration includes </w:t>
      </w:r>
    </w:p>
    <w:p w:rsidR="00B45615" w:rsidRPr="00B45615" w:rsidRDefault="00B45615" w:rsidP="00B45615">
      <w:pPr>
        <w:pStyle w:val="ListParagraph"/>
        <w:numPr>
          <w:ilvl w:val="0"/>
          <w:numId w:val="45"/>
        </w:numPr>
        <w:rPr>
          <w:i/>
        </w:rPr>
      </w:pPr>
      <w:r w:rsidRPr="00B45615">
        <w:rPr>
          <w:i/>
        </w:rPr>
        <w:t xml:space="preserve">defining </w:t>
      </w:r>
      <w:r w:rsidRPr="00B45615">
        <w:rPr>
          <w:b/>
          <w:i/>
        </w:rPr>
        <w:t>nonverbal cues</w:t>
      </w:r>
      <w:r w:rsidRPr="00B45615">
        <w:rPr>
          <w:i/>
        </w:rPr>
        <w:t xml:space="preserve"> </w:t>
      </w:r>
    </w:p>
    <w:p w:rsidR="00B45615" w:rsidRPr="00B45615" w:rsidRDefault="00B45615" w:rsidP="00B45615">
      <w:pPr>
        <w:pStyle w:val="ListParagraph"/>
        <w:numPr>
          <w:ilvl w:val="0"/>
          <w:numId w:val="45"/>
        </w:numPr>
        <w:rPr>
          <w:i/>
        </w:rPr>
      </w:pPr>
      <w:r w:rsidRPr="00B45615">
        <w:rPr>
          <w:i/>
        </w:rPr>
        <w:t xml:space="preserve">employing active listening techniques (e.g., asking clarifying questions, paraphrasing what was said) </w:t>
      </w:r>
    </w:p>
    <w:p w:rsidR="00B45615" w:rsidRPr="00B45615" w:rsidRDefault="00B45615" w:rsidP="00B45615">
      <w:pPr>
        <w:pStyle w:val="ListParagraph"/>
        <w:numPr>
          <w:ilvl w:val="0"/>
          <w:numId w:val="45"/>
        </w:numPr>
        <w:rPr>
          <w:i/>
        </w:rPr>
      </w:pPr>
      <w:r w:rsidRPr="00B45615">
        <w:rPr>
          <w:i/>
        </w:rPr>
        <w:t xml:space="preserve">exhibiting public speaking skills (e.g., making presentations) </w:t>
      </w:r>
    </w:p>
    <w:p w:rsidR="00B45615" w:rsidRPr="00B45615" w:rsidRDefault="00B45615" w:rsidP="00B45615">
      <w:pPr>
        <w:pStyle w:val="ListParagraph"/>
        <w:numPr>
          <w:ilvl w:val="0"/>
          <w:numId w:val="45"/>
        </w:numPr>
        <w:rPr>
          <w:i/>
        </w:rPr>
      </w:pPr>
      <w:r w:rsidRPr="00B45615">
        <w:rPr>
          <w:i/>
        </w:rPr>
        <w:t xml:space="preserve">articulating ideas in a manner appropriate to the setting and audience (e.g., considering the chosen communication method and audience’s level of knowledge). </w:t>
      </w:r>
    </w:p>
    <w:p w:rsidR="00E57DDC" w:rsidRDefault="00E57DDC" w:rsidP="00E57DDC">
      <w:pPr>
        <w:pStyle w:val="ListParagraph"/>
      </w:pPr>
    </w:p>
    <w:p w:rsidR="004F32A2" w:rsidRDefault="00661427">
      <w:pPr>
        <w:pStyle w:val="Subtitle"/>
      </w:pPr>
      <w:r>
        <w:t>Correlations to Other Workplace Readiness Skills:</w:t>
      </w:r>
    </w:p>
    <w:p w:rsidR="00985F00" w:rsidRDefault="00985F00" w:rsidP="00036412">
      <w:pPr>
        <w:pStyle w:val="ListParagraph"/>
        <w:numPr>
          <w:ilvl w:val="0"/>
          <w:numId w:val="11"/>
        </w:numPr>
      </w:pPr>
      <w:r>
        <w:t>Demonstrate work ethic.</w:t>
      </w:r>
    </w:p>
    <w:p w:rsidR="00985CD3" w:rsidRDefault="00985CD3" w:rsidP="00036412">
      <w:pPr>
        <w:pStyle w:val="ListParagraph"/>
        <w:numPr>
          <w:ilvl w:val="0"/>
          <w:numId w:val="11"/>
        </w:numPr>
      </w:pPr>
      <w:r>
        <w:t>Demonstrate conflict-resolution skills</w:t>
      </w:r>
      <w:r w:rsidR="00230528">
        <w:t>.</w:t>
      </w:r>
    </w:p>
    <w:p w:rsidR="00036412" w:rsidRDefault="00036412" w:rsidP="00036412">
      <w:pPr>
        <w:pStyle w:val="ListParagraph"/>
        <w:numPr>
          <w:ilvl w:val="0"/>
          <w:numId w:val="11"/>
        </w:numPr>
      </w:pPr>
      <w:r w:rsidRPr="00036412">
        <w:t xml:space="preserve">Demonstrate </w:t>
      </w:r>
      <w:r w:rsidR="00B45615">
        <w:t>big-picture thinking</w:t>
      </w:r>
      <w:r w:rsidRPr="00036412">
        <w:t>.</w:t>
      </w:r>
    </w:p>
    <w:p w:rsidR="00985F00" w:rsidRDefault="00985F00" w:rsidP="00985F00">
      <w:pPr>
        <w:pStyle w:val="ListParagraph"/>
        <w:numPr>
          <w:ilvl w:val="0"/>
          <w:numId w:val="11"/>
        </w:numPr>
      </w:pPr>
      <w:r w:rsidRPr="00985F00">
        <w:t xml:space="preserve">Demonstrate </w:t>
      </w:r>
      <w:r w:rsidR="00B45615">
        <w:t>career- and life-management skills</w:t>
      </w:r>
      <w:r w:rsidRPr="00985F00">
        <w:t>.</w:t>
      </w:r>
    </w:p>
    <w:p w:rsidR="00B45615" w:rsidRDefault="00B45615" w:rsidP="00985F00">
      <w:pPr>
        <w:pStyle w:val="ListParagraph"/>
        <w:numPr>
          <w:ilvl w:val="0"/>
          <w:numId w:val="11"/>
        </w:numPr>
      </w:pPr>
      <w:r>
        <w:t>Demonstrate professionalism.</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19117F">
        <w:t xml:space="preserve">6.2, </w:t>
      </w:r>
      <w:r w:rsidR="005125B9">
        <w:t xml:space="preserve">6.6, </w:t>
      </w:r>
      <w:r w:rsidR="00E50600">
        <w:t>6.7,</w:t>
      </w:r>
      <w:r w:rsidR="0019117F">
        <w:t xml:space="preserve"> </w:t>
      </w:r>
      <w:r w:rsidR="00766D94">
        <w:t xml:space="preserve">6.9, </w:t>
      </w:r>
      <w:r w:rsidR="0019117F">
        <w:t xml:space="preserve">7.1, 7.2, </w:t>
      </w:r>
      <w:r w:rsidR="005125B9">
        <w:t xml:space="preserve">7.6, </w:t>
      </w:r>
      <w:r w:rsidR="00E50600">
        <w:t>7.7</w:t>
      </w:r>
      <w:r w:rsidR="0019117F">
        <w:t xml:space="preserve">, </w:t>
      </w:r>
      <w:r w:rsidR="00766D94">
        <w:t xml:space="preserve">7.9, </w:t>
      </w:r>
      <w:r w:rsidR="0019117F">
        <w:t xml:space="preserve">8.2, </w:t>
      </w:r>
      <w:r w:rsidR="005125B9">
        <w:t xml:space="preserve">8.6, </w:t>
      </w:r>
      <w:r w:rsidR="00E50600">
        <w:t>8.7</w:t>
      </w:r>
      <w:r w:rsidR="00385566">
        <w:t xml:space="preserve">, </w:t>
      </w:r>
      <w:r w:rsidR="00766D94">
        <w:t xml:space="preserve">8.9, </w:t>
      </w:r>
      <w:r w:rsidR="00385566">
        <w:t xml:space="preserve">9.1, </w:t>
      </w:r>
      <w:r w:rsidR="005125B9">
        <w:t xml:space="preserve">9.5, </w:t>
      </w:r>
      <w:r w:rsidR="00E50600">
        <w:t>9.6</w:t>
      </w:r>
      <w:r w:rsidR="0019117F">
        <w:t xml:space="preserve">, </w:t>
      </w:r>
      <w:r w:rsidR="00766D94">
        <w:t xml:space="preserve">9.8, </w:t>
      </w:r>
      <w:r w:rsidR="0019117F">
        <w:t xml:space="preserve">10.1, </w:t>
      </w:r>
      <w:r w:rsidR="005125B9">
        <w:t xml:space="preserve">10.5, </w:t>
      </w:r>
      <w:r w:rsidR="00E50600">
        <w:t>10.6</w:t>
      </w:r>
      <w:r w:rsidR="0019117F">
        <w:t xml:space="preserve">, </w:t>
      </w:r>
      <w:r w:rsidR="00766D94">
        <w:t xml:space="preserve">10.8, </w:t>
      </w:r>
      <w:r w:rsidR="0019117F">
        <w:t>11.1</w:t>
      </w:r>
      <w:r w:rsidR="00766D94">
        <w:t>, 11.5, 11.8, 12.5</w:t>
      </w:r>
    </w:p>
    <w:p w:rsidR="00464F90" w:rsidRDefault="00464F90" w:rsidP="00703E44">
      <w:pPr>
        <w:ind w:left="720"/>
      </w:pPr>
      <w:r>
        <w:t xml:space="preserve">History and Social Science: </w:t>
      </w:r>
      <w:r w:rsidR="00ED0CC7">
        <w:t>GOVT.16</w:t>
      </w:r>
    </w:p>
    <w:p w:rsidR="004F32A2" w:rsidRDefault="004F32A2"/>
    <w:p w:rsidR="004F32A2" w:rsidRDefault="00661427">
      <w:pPr>
        <w:pStyle w:val="Subtitle"/>
      </w:pPr>
      <w:r>
        <w:t>Instructional Steps:</w:t>
      </w:r>
    </w:p>
    <w:p w:rsidR="00985CD3" w:rsidRDefault="00E57DDC" w:rsidP="00C1110F">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 xml:space="preserve">Ask students to raise their hands if they watch YouTube videos. </w:t>
      </w:r>
      <w:r>
        <w:t>It is likely that most do. Explain that, in this lesson, they’ll have the opportunity to conduct research on a career of interest and create an informative YouTube video about that career for classmates.</w:t>
      </w:r>
      <w:r w:rsidR="00D85763">
        <w:t xml:space="preserve"> </w:t>
      </w:r>
    </w:p>
    <w:p w:rsidR="00985CD3" w:rsidRDefault="00985CD3" w:rsidP="00985CD3">
      <w:pPr>
        <w:pStyle w:val="ListParagraph"/>
        <w:spacing w:line="276" w:lineRule="auto"/>
      </w:pPr>
    </w:p>
    <w:p w:rsidR="00985CD3" w:rsidRDefault="00E57DDC" w:rsidP="00D85763">
      <w:pPr>
        <w:pStyle w:val="ListParagraph"/>
        <w:numPr>
          <w:ilvl w:val="0"/>
          <w:numId w:val="21"/>
        </w:numPr>
        <w:spacing w:line="276" w:lineRule="auto"/>
      </w:pPr>
      <w:r>
        <w:rPr>
          <w:b/>
          <w:i/>
        </w:rPr>
        <w:t xml:space="preserve">List characteristics of effective speakers. </w:t>
      </w:r>
      <w:r>
        <w:t xml:space="preserve">Explain that, whether in a YouTube recording or in real time, there are certain characteristics displayed by people who are engaging speakers. List a few characteristics (e.g., the person is easy to understand, doesn’t mumble, looks at the camera or audience, uses enough volume to be heard), then distribute Handout #1: </w:t>
      </w:r>
      <w:r w:rsidR="00112C15">
        <w:t xml:space="preserve">7 </w:t>
      </w:r>
      <w:r>
        <w:t>Tips for Effective Speaking. Explain that students may add to the list of tips as the lesson progresses.</w:t>
      </w:r>
    </w:p>
    <w:p w:rsidR="00985CD3" w:rsidRPr="00985CD3" w:rsidRDefault="00985CD3" w:rsidP="00985CD3">
      <w:pPr>
        <w:pStyle w:val="ListParagraph"/>
        <w:rPr>
          <w:b/>
          <w:i/>
        </w:rPr>
      </w:pPr>
    </w:p>
    <w:p w:rsidR="003A1A0A" w:rsidRPr="003A1A0A" w:rsidRDefault="006F4303" w:rsidP="008070AF">
      <w:pPr>
        <w:pStyle w:val="ListParagraph"/>
        <w:numPr>
          <w:ilvl w:val="0"/>
          <w:numId w:val="21"/>
        </w:numPr>
        <w:spacing w:line="276" w:lineRule="auto"/>
      </w:pPr>
      <w:r>
        <w:rPr>
          <w:b/>
          <w:i/>
        </w:rPr>
        <w:t>Allowing students to work i</w:t>
      </w:r>
      <w:r w:rsidR="00E57DDC">
        <w:rPr>
          <w:b/>
          <w:i/>
        </w:rPr>
        <w:t xml:space="preserve">ndividually, in pairs, or in groups, assign </w:t>
      </w:r>
      <w:r>
        <w:rPr>
          <w:b/>
          <w:i/>
        </w:rPr>
        <w:t xml:space="preserve">the </w:t>
      </w:r>
      <w:r w:rsidR="00E57DDC">
        <w:rPr>
          <w:b/>
          <w:i/>
        </w:rPr>
        <w:t>research project</w:t>
      </w:r>
      <w:r w:rsidR="003A1A0A" w:rsidRPr="003A1A0A">
        <w:rPr>
          <w:b/>
          <w:i/>
        </w:rPr>
        <w:t>.</w:t>
      </w:r>
      <w:r w:rsidR="003A1A0A">
        <w:t xml:space="preserve"> </w:t>
      </w:r>
      <w:r>
        <w:t>Ask students to begin by thinking about a career of interest to research. To begin thinking about their chosen topics, students may use the “K” and “W</w:t>
      </w:r>
      <w:r w:rsidR="00CE2A8A">
        <w:t>” portion of Handout #2: K—W—L C</w:t>
      </w:r>
      <w:r>
        <w:t>hart</w:t>
      </w:r>
      <w:r w:rsidR="008070AF" w:rsidRPr="008070AF">
        <w:t>: Career Exploration</w:t>
      </w:r>
      <w:r w:rsidR="00CE2A8A">
        <w:t>.</w:t>
      </w:r>
      <w:r>
        <w:t xml:space="preserve"> </w:t>
      </w:r>
    </w:p>
    <w:p w:rsidR="003A1A0A" w:rsidRPr="003A1A0A" w:rsidRDefault="003A1A0A" w:rsidP="003A1A0A">
      <w:pPr>
        <w:pStyle w:val="ListParagraph"/>
        <w:rPr>
          <w:b/>
          <w:i/>
        </w:rPr>
      </w:pPr>
    </w:p>
    <w:p w:rsidR="006136E3" w:rsidRDefault="00766D94" w:rsidP="006136E3">
      <w:pPr>
        <w:pStyle w:val="ListParagraph"/>
        <w:numPr>
          <w:ilvl w:val="0"/>
          <w:numId w:val="21"/>
        </w:numPr>
        <w:spacing w:line="276" w:lineRule="auto"/>
      </w:pPr>
      <w:r>
        <w:rPr>
          <w:b/>
          <w:i/>
        </w:rPr>
        <w:t>Discuss and l</w:t>
      </w:r>
      <w:r w:rsidR="00CE2A8A">
        <w:rPr>
          <w:b/>
          <w:i/>
        </w:rPr>
        <w:t xml:space="preserve">ist some of the careers the students plan to research. </w:t>
      </w:r>
      <w:r w:rsidR="00CE2A8A">
        <w:t xml:space="preserve">This could help others who may be having trouble brainstorming; this also affords the opportunity for students with similar interests to </w:t>
      </w:r>
      <w:r>
        <w:t xml:space="preserve">identify one another and </w:t>
      </w:r>
      <w:r w:rsidR="00CE2A8A">
        <w:t>work together on the research.</w:t>
      </w:r>
    </w:p>
    <w:p w:rsidR="00CE2A8A" w:rsidRDefault="00CE2A8A" w:rsidP="00CE2A8A">
      <w:pPr>
        <w:spacing w:line="276" w:lineRule="auto"/>
      </w:pPr>
    </w:p>
    <w:p w:rsidR="006136E3" w:rsidRDefault="006136E3" w:rsidP="008070AF">
      <w:pPr>
        <w:pStyle w:val="ListParagraph"/>
        <w:numPr>
          <w:ilvl w:val="0"/>
          <w:numId w:val="21"/>
        </w:numPr>
        <w:spacing w:line="276" w:lineRule="auto"/>
      </w:pPr>
      <w:r>
        <w:rPr>
          <w:b/>
          <w:i/>
        </w:rPr>
        <w:t>A</w:t>
      </w:r>
      <w:r w:rsidR="00CE2A8A">
        <w:rPr>
          <w:b/>
          <w:i/>
        </w:rPr>
        <w:t xml:space="preserve">llow time for students to use the Internet and other career resources to conduct their research. </w:t>
      </w:r>
      <w:r w:rsidR="00CE2A8A">
        <w:t>Encourage students to use various resources (see the list below) and to take notes in the “L” portion of Handout #1: K—W—L Chart</w:t>
      </w:r>
      <w:r w:rsidR="008070AF" w:rsidRPr="008070AF">
        <w:t>: Career Exploration</w:t>
      </w:r>
      <w:r w:rsidR="00CE2A8A">
        <w:t>.</w:t>
      </w:r>
    </w:p>
    <w:p w:rsidR="00CE2A8A" w:rsidRPr="00F8488E" w:rsidRDefault="00CE2A8A" w:rsidP="00CE2A8A">
      <w:pPr>
        <w:pStyle w:val="ListParagraph"/>
        <w:rPr>
          <w:u w:val="single"/>
        </w:rPr>
      </w:pPr>
      <w:r>
        <w:br/>
      </w:r>
      <w:r w:rsidRPr="00F8488E">
        <w:rPr>
          <w:u w:val="single"/>
        </w:rPr>
        <w:t>Career Resources:</w:t>
      </w:r>
    </w:p>
    <w:p w:rsidR="00CE2A8A" w:rsidRDefault="00283511" w:rsidP="00F8488E">
      <w:pPr>
        <w:pStyle w:val="ListParagraph"/>
        <w:numPr>
          <w:ilvl w:val="0"/>
          <w:numId w:val="43"/>
        </w:numPr>
      </w:pPr>
      <w:hyperlink r:id="rId10" w:history="1">
        <w:r w:rsidR="00CE2A8A" w:rsidRPr="00CE2A8A">
          <w:rPr>
            <w:rStyle w:val="Hyperlink"/>
          </w:rPr>
          <w:t>Career OneStop</w:t>
        </w:r>
      </w:hyperlink>
      <w:r w:rsidR="00CE2A8A">
        <w:t xml:space="preserve"> (a resource from the U.S. Department of Labor): </w:t>
      </w:r>
      <w:hyperlink r:id="rId11" w:history="1">
        <w:r w:rsidR="00CE2A8A" w:rsidRPr="00276F0F">
          <w:rPr>
            <w:rStyle w:val="Hyperlink"/>
          </w:rPr>
          <w:t>https://www.careeronestop.org/</w:t>
        </w:r>
      </w:hyperlink>
      <w:r w:rsidR="00CE2A8A">
        <w:t xml:space="preserve"> </w:t>
      </w:r>
    </w:p>
    <w:p w:rsidR="00CE2A8A" w:rsidRDefault="00283511" w:rsidP="00F8488E">
      <w:pPr>
        <w:pStyle w:val="ListParagraph"/>
        <w:numPr>
          <w:ilvl w:val="0"/>
          <w:numId w:val="43"/>
        </w:numPr>
      </w:pPr>
      <w:hyperlink r:id="rId12" w:history="1">
        <w:r w:rsidR="00CE2A8A" w:rsidRPr="00CE2A8A">
          <w:rPr>
            <w:rStyle w:val="Hyperlink"/>
          </w:rPr>
          <w:t>Trailblazers</w:t>
        </w:r>
      </w:hyperlink>
      <w:r w:rsidR="00CE2A8A">
        <w:t xml:space="preserve">: Career and Technical Education in Virginia: </w:t>
      </w:r>
      <w:hyperlink r:id="rId13" w:history="1">
        <w:r w:rsidR="00CE2A8A" w:rsidRPr="00276F0F">
          <w:rPr>
            <w:rStyle w:val="Hyperlink"/>
          </w:rPr>
          <w:t>http://ctetrailblazers.org/</w:t>
        </w:r>
      </w:hyperlink>
      <w:r w:rsidR="00CE2A8A">
        <w:t xml:space="preserve"> </w:t>
      </w:r>
    </w:p>
    <w:p w:rsidR="00F8488E" w:rsidRDefault="00283511" w:rsidP="00F8488E">
      <w:pPr>
        <w:pStyle w:val="ListParagraph"/>
        <w:numPr>
          <w:ilvl w:val="0"/>
          <w:numId w:val="43"/>
        </w:numPr>
      </w:pPr>
      <w:hyperlink r:id="rId14" w:history="1">
        <w:r w:rsidR="00F8488E" w:rsidRPr="00F8488E">
          <w:rPr>
            <w:rStyle w:val="Hyperlink"/>
          </w:rPr>
          <w:t>Virginia Education Wizard</w:t>
        </w:r>
      </w:hyperlink>
      <w:r w:rsidR="00F8488E">
        <w:t xml:space="preserve">: </w:t>
      </w:r>
      <w:hyperlink r:id="rId15" w:history="1">
        <w:r w:rsidR="00F8488E" w:rsidRPr="00276F0F">
          <w:rPr>
            <w:rStyle w:val="Hyperlink"/>
          </w:rPr>
          <w:t>https://www.vawizard.org/wizard/home</w:t>
        </w:r>
      </w:hyperlink>
      <w:r w:rsidR="00F8488E">
        <w:t xml:space="preserve"> </w:t>
      </w:r>
    </w:p>
    <w:p w:rsidR="00CE2A8A" w:rsidRPr="00F8488E" w:rsidRDefault="00283511" w:rsidP="00F8488E">
      <w:pPr>
        <w:pStyle w:val="ListParagraph"/>
        <w:widowControl/>
        <w:numPr>
          <w:ilvl w:val="0"/>
          <w:numId w:val="43"/>
        </w:numPr>
        <w:spacing w:after="160" w:line="259" w:lineRule="auto"/>
        <w:rPr>
          <w:rFonts w:asciiTheme="minorHAnsi" w:eastAsiaTheme="minorHAnsi" w:hAnsiTheme="minorHAnsi" w:cstheme="minorBidi"/>
          <w:color w:val="auto"/>
        </w:rPr>
      </w:pPr>
      <w:hyperlink r:id="rId16" w:history="1">
        <w:r w:rsidR="00F8488E" w:rsidRPr="00F8488E">
          <w:rPr>
            <w:rFonts w:asciiTheme="minorHAnsi" w:eastAsiaTheme="minorHAnsi" w:hAnsiTheme="minorHAnsi" w:cstheme="minorBidi"/>
            <w:color w:val="0563C1" w:themeColor="hyperlink"/>
            <w:u w:val="single"/>
          </w:rPr>
          <w:t>Build Your Future</w:t>
        </w:r>
      </w:hyperlink>
      <w:r w:rsidR="00F8488E" w:rsidRPr="00F8488E">
        <w:rPr>
          <w:rFonts w:asciiTheme="minorHAnsi" w:eastAsiaTheme="minorHAnsi" w:hAnsiTheme="minorHAnsi" w:cstheme="minorBidi"/>
          <w:color w:val="auto"/>
        </w:rPr>
        <w:t xml:space="preserve"> (specific to craft/skilled labor professions): </w:t>
      </w:r>
      <w:hyperlink r:id="rId17" w:history="1">
        <w:r w:rsidR="00F8488E" w:rsidRPr="00F8488E">
          <w:rPr>
            <w:rFonts w:asciiTheme="minorHAnsi" w:eastAsiaTheme="minorHAnsi" w:hAnsiTheme="minorHAnsi" w:cstheme="minorBidi"/>
            <w:color w:val="0563C1" w:themeColor="hyperlink"/>
            <w:u w:val="single"/>
          </w:rPr>
          <w:t>http://byf.org/</w:t>
        </w:r>
      </w:hyperlink>
    </w:p>
    <w:p w:rsidR="006136E3" w:rsidRDefault="00283511" w:rsidP="00F8488E">
      <w:pPr>
        <w:pStyle w:val="ListParagraph"/>
        <w:widowControl/>
        <w:numPr>
          <w:ilvl w:val="0"/>
          <w:numId w:val="43"/>
        </w:numPr>
        <w:spacing w:after="160" w:line="259" w:lineRule="auto"/>
        <w:rPr>
          <w:rFonts w:asciiTheme="minorHAnsi" w:eastAsiaTheme="minorHAnsi" w:hAnsiTheme="minorHAnsi" w:cstheme="minorBidi"/>
          <w:color w:val="auto"/>
        </w:rPr>
      </w:pPr>
      <w:hyperlink r:id="rId18" w:history="1">
        <w:r w:rsidR="00F8488E" w:rsidRPr="00F8488E">
          <w:rPr>
            <w:rStyle w:val="Hyperlink"/>
            <w:rFonts w:asciiTheme="minorHAnsi" w:eastAsiaTheme="minorHAnsi" w:hAnsiTheme="minorHAnsi" w:cstheme="minorBidi"/>
          </w:rPr>
          <w:t>My Next Move</w:t>
        </w:r>
      </w:hyperlink>
      <w:r w:rsidR="00F8488E" w:rsidRPr="00F8488E">
        <w:rPr>
          <w:rFonts w:asciiTheme="minorHAnsi" w:eastAsiaTheme="minorHAnsi" w:hAnsiTheme="minorHAnsi" w:cstheme="minorBidi"/>
          <w:color w:val="auto"/>
        </w:rPr>
        <w:t xml:space="preserve"> (O*Net, U.S. Department of Labor): </w:t>
      </w:r>
      <w:hyperlink r:id="rId19" w:history="1">
        <w:r w:rsidR="00F8488E" w:rsidRPr="00F8488E">
          <w:rPr>
            <w:rStyle w:val="Hyperlink"/>
            <w:rFonts w:asciiTheme="minorHAnsi" w:eastAsiaTheme="minorHAnsi" w:hAnsiTheme="minorHAnsi" w:cstheme="minorBidi"/>
          </w:rPr>
          <w:t>https://www.mynextmove.org/</w:t>
        </w:r>
      </w:hyperlink>
      <w:r w:rsidR="00F8488E" w:rsidRPr="00F8488E">
        <w:rPr>
          <w:rFonts w:asciiTheme="minorHAnsi" w:eastAsiaTheme="minorHAnsi" w:hAnsiTheme="minorHAnsi" w:cstheme="minorBidi"/>
          <w:color w:val="auto"/>
        </w:rPr>
        <w:t xml:space="preserve"> </w:t>
      </w:r>
    </w:p>
    <w:p w:rsidR="00F8488E" w:rsidRPr="00F8488E" w:rsidRDefault="00F8488E" w:rsidP="00F8488E">
      <w:pPr>
        <w:pStyle w:val="ListParagraph"/>
        <w:widowControl/>
        <w:spacing w:after="160" w:line="259" w:lineRule="auto"/>
        <w:ind w:left="1080"/>
        <w:rPr>
          <w:rFonts w:asciiTheme="minorHAnsi" w:eastAsiaTheme="minorHAnsi" w:hAnsiTheme="minorHAnsi" w:cstheme="minorBidi"/>
          <w:color w:val="auto"/>
        </w:rPr>
      </w:pPr>
    </w:p>
    <w:p w:rsidR="00A05F5D" w:rsidRDefault="00125DB6" w:rsidP="00125DB6">
      <w:pPr>
        <w:pStyle w:val="ListParagraph"/>
        <w:numPr>
          <w:ilvl w:val="0"/>
          <w:numId w:val="21"/>
        </w:numPr>
        <w:spacing w:line="276" w:lineRule="auto"/>
      </w:pPr>
      <w:r>
        <w:rPr>
          <w:b/>
          <w:i/>
        </w:rPr>
        <w:t xml:space="preserve">Ask students to work in partners or small groups to create/record videos telling what they’ve learned about various careers. </w:t>
      </w:r>
      <w:r w:rsidR="00FF7101">
        <w:t>Ask students to use the rubrics on Te</w:t>
      </w:r>
      <w:r w:rsidR="009F30C3">
        <w:t xml:space="preserve">acher Resource #1: Video Presentation Feedback </w:t>
      </w:r>
      <w:r w:rsidR="00766D94">
        <w:t>Checklist</w:t>
      </w:r>
      <w:r w:rsidR="00FF7101">
        <w:t xml:space="preserve"> to guide their work. Allow enough time for students to draft scripts or make notes on note cards, practice presentations, record their videos, and upload the videos to YouTube or another appropriate video sharing site.</w:t>
      </w:r>
      <w:r w:rsidR="00FF7101">
        <w:br/>
      </w:r>
    </w:p>
    <w:p w:rsidR="00FF7101" w:rsidRPr="00125DB6" w:rsidRDefault="00FF7101" w:rsidP="00125DB6">
      <w:pPr>
        <w:pStyle w:val="ListParagraph"/>
        <w:numPr>
          <w:ilvl w:val="0"/>
          <w:numId w:val="21"/>
        </w:numPr>
        <w:spacing w:line="276" w:lineRule="auto"/>
      </w:pPr>
      <w:r w:rsidRPr="00FF7101">
        <w:rPr>
          <w:b/>
          <w:i/>
        </w:rPr>
        <w:t>Share student videos.</w:t>
      </w:r>
      <w:r>
        <w:t xml:space="preserve"> </w:t>
      </w:r>
      <w:r w:rsidR="00766D94">
        <w:t>T</w:t>
      </w:r>
      <w:r>
        <w:t>e</w:t>
      </w:r>
      <w:r w:rsidR="009F30C3">
        <w:t xml:space="preserve">acher Resource #1: </w:t>
      </w:r>
      <w:r w:rsidR="00766D94">
        <w:t>Video Presentation Feedback Checklist</w:t>
      </w:r>
      <w:r>
        <w:t xml:space="preserve"> can be used by students for self-evaluation, by peers to offer feedback</w:t>
      </w:r>
      <w:r w:rsidR="009F30C3">
        <w:t xml:space="preserve"> (discuss appropriate and constructive feedback)</w:t>
      </w:r>
      <w:r>
        <w:t>, or by teachers to assess student work.</w:t>
      </w:r>
    </w:p>
    <w:p w:rsidR="00125DB6" w:rsidRDefault="00125DB6" w:rsidP="00125DB6">
      <w:pPr>
        <w:pStyle w:val="ListParagraph"/>
        <w:spacing w:line="276" w:lineRule="auto"/>
      </w:pPr>
    </w:p>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t xml:space="preserve">Assess student understanding </w:t>
      </w:r>
      <w:r w:rsidR="00C50CCB">
        <w:t xml:space="preserve">and participation </w:t>
      </w:r>
      <w:r>
        <w:t xml:space="preserve">as demonstrated </w:t>
      </w:r>
      <w:r w:rsidR="001644C3">
        <w:t>in the class and small group discussions</w:t>
      </w:r>
      <w:r w:rsidR="006E0EB2">
        <w:t>.</w:t>
      </w:r>
    </w:p>
    <w:p w:rsidR="00C50CCB" w:rsidRDefault="00BA24D3" w:rsidP="00053C87">
      <w:pPr>
        <w:pStyle w:val="ListParagraph"/>
        <w:numPr>
          <w:ilvl w:val="0"/>
          <w:numId w:val="9"/>
        </w:numPr>
      </w:pPr>
      <w:r>
        <w:t xml:space="preserve">Evaluate student </w:t>
      </w:r>
      <w:r w:rsidR="00C03A96">
        <w:t xml:space="preserve">understanding of concepts within the lesson as demonstrated </w:t>
      </w:r>
      <w:r w:rsidR="00C50CCB">
        <w:t xml:space="preserve">by </w:t>
      </w:r>
      <w:r w:rsidR="00E15F6F">
        <w:t>notes</w:t>
      </w:r>
      <w:r w:rsidR="00C50CCB">
        <w:t xml:space="preserve"> rec</w:t>
      </w:r>
      <w:r w:rsidR="00E15F6F">
        <w:t>orded on Handout #</w:t>
      </w:r>
      <w:r w:rsidR="00FF7101">
        <w:t>2</w:t>
      </w:r>
      <w:r w:rsidR="00E15F6F">
        <w:t>:</w:t>
      </w:r>
      <w:r w:rsidR="00FF7101" w:rsidRPr="00FF7101">
        <w:t xml:space="preserve"> </w:t>
      </w:r>
      <w:r w:rsidR="00FF7101">
        <w:t>K—W—L Chart</w:t>
      </w:r>
      <w:r w:rsidR="00FF7101" w:rsidRPr="008070AF">
        <w:t>: Career Exploration</w:t>
      </w:r>
      <w:r w:rsidR="00FF7101">
        <w:t>.</w:t>
      </w:r>
    </w:p>
    <w:p w:rsidR="00BA24D3" w:rsidRDefault="00FF7101" w:rsidP="00865399">
      <w:pPr>
        <w:pStyle w:val="ListParagraph"/>
        <w:numPr>
          <w:ilvl w:val="0"/>
          <w:numId w:val="9"/>
        </w:numPr>
      </w:pPr>
      <w:r>
        <w:t>Evaluate student videos using Te</w:t>
      </w:r>
      <w:r w:rsidR="009F30C3">
        <w:t xml:space="preserve">acher Resource #1: </w:t>
      </w:r>
      <w:r w:rsidR="00766D94">
        <w:t>Video Presentation Feedback Checklist</w:t>
      </w:r>
      <w:r w:rsidR="00C50CCB">
        <w:t>.</w:t>
      </w:r>
      <w:r w:rsidR="00C03A96">
        <w:t xml:space="preserve"> </w:t>
      </w:r>
      <w:r w:rsidR="00BA24D3">
        <w:t xml:space="preserve"> </w:t>
      </w:r>
      <w:r w:rsidR="00BA24D3">
        <w:br/>
      </w:r>
    </w:p>
    <w:p w:rsidR="004F32A2" w:rsidRDefault="00661427">
      <w:pPr>
        <w:pStyle w:val="Subtitle"/>
      </w:pPr>
      <w:r>
        <w:t>Options for Adaptation/Differentiation:</w:t>
      </w:r>
    </w:p>
    <w:p w:rsidR="00DC1735" w:rsidRPr="00DC1735" w:rsidRDefault="009E3AE8" w:rsidP="00053C87">
      <w:pPr>
        <w:pStyle w:val="ListParagraph"/>
        <w:numPr>
          <w:ilvl w:val="0"/>
          <w:numId w:val="15"/>
        </w:numPr>
        <w:rPr>
          <w:color w:val="5A5A5A"/>
        </w:rPr>
      </w:pPr>
      <w:r>
        <w:t xml:space="preserve">To </w:t>
      </w:r>
      <w:r w:rsidR="00FF7101">
        <w:t>modify the length and difficulty of this lesson, it can be done without the research component. In this version of the lesson, assign students to various topics they’ve mastered in class and ask them to work in pairs or small groups to make YouTube videos to teach younger or less experienced students about what they know.</w:t>
      </w:r>
    </w:p>
    <w:p w:rsidR="003F72EA" w:rsidRPr="00C527FC" w:rsidRDefault="00DC1735" w:rsidP="00BA5F03">
      <w:pPr>
        <w:pStyle w:val="ListParagraph"/>
        <w:numPr>
          <w:ilvl w:val="0"/>
          <w:numId w:val="15"/>
        </w:numPr>
        <w:rPr>
          <w:color w:val="5A5A5A"/>
        </w:rPr>
      </w:pPr>
      <w:r>
        <w:t>To extend this activity and provide further enrichment,</w:t>
      </w:r>
      <w:r w:rsidR="00FF7101">
        <w:t xml:space="preserve"> pair with another CTE class and ask the students to complete live presentations to the students in that class about the career researched</w:t>
      </w:r>
      <w:r w:rsidR="00053C87">
        <w:t xml:space="preserve">. </w:t>
      </w:r>
      <w:r w:rsidR="00C527FC">
        <w:br/>
      </w:r>
    </w:p>
    <w:p w:rsidR="004F32A2" w:rsidRDefault="00661427">
      <w:pPr>
        <w:pStyle w:val="Subtitle"/>
      </w:pPr>
      <w:r>
        <w:t xml:space="preserve">Suggestions for Follow-up: </w:t>
      </w:r>
    </w:p>
    <w:p w:rsidR="00871F05" w:rsidRDefault="00871F05" w:rsidP="00871F05">
      <w:pPr>
        <w:pStyle w:val="ListParagraph"/>
        <w:numPr>
          <w:ilvl w:val="0"/>
          <w:numId w:val="44"/>
        </w:numPr>
      </w:pPr>
      <w:r>
        <w:lastRenderedPageBreak/>
        <w:t xml:space="preserve">Build on student knowledge regarding effective speaking by practicing mock interviews; these can simulate a college interview or a job interview. </w:t>
      </w:r>
    </w:p>
    <w:p w:rsidR="00871F05" w:rsidRDefault="00871F05" w:rsidP="00871F05">
      <w:pPr>
        <w:pStyle w:val="ListParagraph"/>
        <w:numPr>
          <w:ilvl w:val="0"/>
          <w:numId w:val="44"/>
        </w:numPr>
      </w:pPr>
      <w:r>
        <w:t xml:space="preserve">Further explore characteristics of effective public speaking by showing a video of a </w:t>
      </w:r>
      <w:r w:rsidR="00D92C4E">
        <w:t xml:space="preserve">famous speech (examples are numerous and include politicians such as John F. Kennedy, </w:t>
      </w:r>
      <w:r w:rsidR="00766D94">
        <w:t>c</w:t>
      </w:r>
      <w:r w:rsidR="00D92C4E">
        <w:t xml:space="preserve">ivil </w:t>
      </w:r>
      <w:r w:rsidR="00766D94">
        <w:t>r</w:t>
      </w:r>
      <w:r w:rsidR="00D92C4E">
        <w:t xml:space="preserve">ights </w:t>
      </w:r>
      <w:r w:rsidR="00766D94">
        <w:t>a</w:t>
      </w:r>
      <w:r w:rsidR="00D92C4E">
        <w:t>ctivists such</w:t>
      </w:r>
      <w:r w:rsidR="00766D94">
        <w:t xml:space="preserve"> as Martin Luther King, Jr., or</w:t>
      </w:r>
      <w:r w:rsidR="00D92C4E">
        <w:t xml:space="preserve"> athletes such as Serena Williams</w:t>
      </w:r>
      <w:r>
        <w:t>). Ask students to identify the characteristics of the speaker that made him/her a powerful or effective speaker.</w:t>
      </w:r>
    </w:p>
    <w:p w:rsidR="00C4400F" w:rsidRDefault="00C4400F" w:rsidP="00C4400F"/>
    <w:p w:rsidR="00C4400F" w:rsidRPr="00C4400F" w:rsidRDefault="00C4400F" w:rsidP="00C4400F">
      <w:pPr>
        <w:rPr>
          <w:color w:val="767171" w:themeColor="background2" w:themeShade="80"/>
        </w:rPr>
      </w:pPr>
      <w:r w:rsidRPr="00C4400F">
        <w:rPr>
          <w:color w:val="767171" w:themeColor="background2" w:themeShade="80"/>
        </w:rPr>
        <w:t>Teacher Resources:</w:t>
      </w:r>
    </w:p>
    <w:p w:rsidR="00C4400F" w:rsidRDefault="00C4400F" w:rsidP="00C4400F"/>
    <w:p w:rsidR="00C4400F" w:rsidRDefault="00283511" w:rsidP="00C4400F">
      <w:hyperlink r:id="rId20" w:history="1">
        <w:r w:rsidR="00C4400F" w:rsidRPr="00C4400F">
          <w:rPr>
            <w:rStyle w:val="Hyperlink"/>
          </w:rPr>
          <w:t>3 Tips for Teaching Speaking and Listening Skills</w:t>
        </w:r>
      </w:hyperlink>
      <w:r w:rsidR="00C4400F">
        <w:t xml:space="preserve"> (</w:t>
      </w:r>
      <w:hyperlink r:id="rId21" w:history="1">
        <w:r w:rsidR="00C4400F">
          <w:rPr>
            <w:rStyle w:val="Hyperlink"/>
          </w:rPr>
          <w:t>https://www.amle.org/BrowsebyTopic/WhatsNew/WNDet/TabId/270/ArtMID/888/ArticleID/607/3-Tips-for-Teaching-Speaking-and-Listening-Skills.aspx</w:t>
        </w:r>
      </w:hyperlink>
      <w:r w:rsidR="00C4400F">
        <w:t>), Association for Middle Level Education (AMLE)</w:t>
      </w:r>
    </w:p>
    <w:p w:rsidR="00C4400F" w:rsidRDefault="00C4400F" w:rsidP="00C4400F"/>
    <w:p w:rsidR="00C4400F" w:rsidRDefault="00283511" w:rsidP="00C4400F">
      <w:hyperlink r:id="rId22" w:history="1">
        <w:r w:rsidR="00C4400F" w:rsidRPr="00C4400F">
          <w:rPr>
            <w:rStyle w:val="Hyperlink"/>
          </w:rPr>
          <w:t>Effective Communication</w:t>
        </w:r>
      </w:hyperlink>
      <w:r w:rsidR="00C4400F">
        <w:t xml:space="preserve"> (</w:t>
      </w:r>
      <w:hyperlink r:id="rId23" w:history="1">
        <w:r w:rsidR="00C4400F">
          <w:rPr>
            <w:rStyle w:val="Hyperlink"/>
          </w:rPr>
          <w:t>https://extension.umaine.edu/publications/wp-content/uploads/sites/82/2015/04/6103.pdf</w:t>
        </w:r>
      </w:hyperlink>
      <w:r w:rsidR="00C4400F">
        <w:t>), University of Maine Cooperative Extension</w:t>
      </w:r>
    </w:p>
    <w:p w:rsidR="00C4400F" w:rsidRDefault="00C4400F" w:rsidP="00C4400F"/>
    <w:p w:rsidR="00C4400F" w:rsidRPr="00871F05" w:rsidRDefault="00283511" w:rsidP="00C4400F">
      <w:hyperlink r:id="rId24" w:history="1">
        <w:r w:rsidR="00C4400F" w:rsidRPr="00C4400F">
          <w:rPr>
            <w:rStyle w:val="Hyperlink"/>
          </w:rPr>
          <w:t>Speaking to an Audience</w:t>
        </w:r>
      </w:hyperlink>
      <w:r w:rsidR="00C4400F">
        <w:t xml:space="preserve"> (</w:t>
      </w:r>
      <w:hyperlink r:id="rId25" w:history="1">
        <w:r w:rsidR="00C4400F">
          <w:rPr>
            <w:rStyle w:val="Hyperlink"/>
          </w:rPr>
          <w:t>https://www.mindtools.com/CommSkll/SpeakingToAnAudience.htm</w:t>
        </w:r>
      </w:hyperlink>
      <w:r w:rsidR="00C4400F">
        <w:t>), MindTools</w:t>
      </w:r>
      <w:bookmarkStart w:id="3" w:name="_GoBack"/>
      <w:bookmarkEnd w:id="3"/>
    </w:p>
    <w:p w:rsidR="009F30C3" w:rsidRPr="009F30C3" w:rsidRDefault="009F30C3" w:rsidP="009F30C3">
      <w:pPr>
        <w:rPr>
          <w:vanish/>
          <w:sz w:val="56"/>
          <w:szCs w:val="56"/>
        </w:rPr>
      </w:pPr>
    </w:p>
    <w:sectPr w:rsidR="009F30C3" w:rsidRPr="009F30C3" w:rsidSect="009F30C3">
      <w:headerReference w:type="default" r:id="rId26"/>
      <w:footerReference w:type="default" r:id="rId27"/>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01B" w:rsidRDefault="00DC701B">
      <w:r>
        <w:separator/>
      </w:r>
    </w:p>
  </w:endnote>
  <w:endnote w:type="continuationSeparator" w:id="0">
    <w:p w:rsidR="00DC701B" w:rsidRDefault="00DC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01B" w:rsidRDefault="00DC701B">
      <w:r>
        <w:separator/>
      </w:r>
    </w:p>
  </w:footnote>
  <w:footnote w:type="continuationSeparator" w:id="0">
    <w:p w:rsidR="00DC701B" w:rsidRDefault="00DC70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8CA"/>
    <w:multiLevelType w:val="hybridMultilevel"/>
    <w:tmpl w:val="68365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04ED7"/>
    <w:multiLevelType w:val="hybridMultilevel"/>
    <w:tmpl w:val="A08CC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143B05"/>
    <w:multiLevelType w:val="hybridMultilevel"/>
    <w:tmpl w:val="DA8E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52D0C"/>
    <w:multiLevelType w:val="hybridMultilevel"/>
    <w:tmpl w:val="B21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0C0F20"/>
    <w:multiLevelType w:val="hybridMultilevel"/>
    <w:tmpl w:val="9D2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55EC1"/>
    <w:multiLevelType w:val="hybridMultilevel"/>
    <w:tmpl w:val="AE36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271C97"/>
    <w:multiLevelType w:val="hybridMultilevel"/>
    <w:tmpl w:val="0AD0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4C90977"/>
    <w:multiLevelType w:val="hybridMultilevel"/>
    <w:tmpl w:val="3B8238B6"/>
    <w:lvl w:ilvl="0" w:tplc="DA2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9B13691"/>
    <w:multiLevelType w:val="hybridMultilevel"/>
    <w:tmpl w:val="0CB2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6D5891"/>
    <w:multiLevelType w:val="hybridMultilevel"/>
    <w:tmpl w:val="042A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E36FB8"/>
    <w:multiLevelType w:val="hybridMultilevel"/>
    <w:tmpl w:val="58B69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1C4731F"/>
    <w:multiLevelType w:val="hybridMultilevel"/>
    <w:tmpl w:val="7D1A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9C90AB5"/>
    <w:multiLevelType w:val="hybridMultilevel"/>
    <w:tmpl w:val="C6C4CDF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41">
    <w:nsid w:val="785F29DB"/>
    <w:multiLevelType w:val="hybridMultilevel"/>
    <w:tmpl w:val="DABA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7CBA448A"/>
    <w:multiLevelType w:val="hybridMultilevel"/>
    <w:tmpl w:val="272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4"/>
  </w:num>
  <w:num w:numId="4">
    <w:abstractNumId w:val="40"/>
  </w:num>
  <w:num w:numId="5">
    <w:abstractNumId w:val="6"/>
  </w:num>
  <w:num w:numId="6">
    <w:abstractNumId w:val="18"/>
  </w:num>
  <w:num w:numId="7">
    <w:abstractNumId w:val="42"/>
  </w:num>
  <w:num w:numId="8">
    <w:abstractNumId w:val="21"/>
  </w:num>
  <w:num w:numId="9">
    <w:abstractNumId w:val="7"/>
  </w:num>
  <w:num w:numId="10">
    <w:abstractNumId w:val="5"/>
  </w:num>
  <w:num w:numId="11">
    <w:abstractNumId w:val="13"/>
  </w:num>
  <w:num w:numId="12">
    <w:abstractNumId w:val="38"/>
  </w:num>
  <w:num w:numId="13">
    <w:abstractNumId w:val="36"/>
  </w:num>
  <w:num w:numId="14">
    <w:abstractNumId w:val="9"/>
  </w:num>
  <w:num w:numId="15">
    <w:abstractNumId w:val="28"/>
  </w:num>
  <w:num w:numId="16">
    <w:abstractNumId w:val="27"/>
  </w:num>
  <w:num w:numId="17">
    <w:abstractNumId w:val="15"/>
  </w:num>
  <w:num w:numId="18">
    <w:abstractNumId w:val="29"/>
  </w:num>
  <w:num w:numId="19">
    <w:abstractNumId w:val="34"/>
  </w:num>
  <w:num w:numId="20">
    <w:abstractNumId w:val="19"/>
  </w:num>
  <w:num w:numId="21">
    <w:abstractNumId w:val="32"/>
  </w:num>
  <w:num w:numId="22">
    <w:abstractNumId w:val="14"/>
  </w:num>
  <w:num w:numId="23">
    <w:abstractNumId w:val="44"/>
  </w:num>
  <w:num w:numId="24">
    <w:abstractNumId w:val="24"/>
  </w:num>
  <w:num w:numId="25">
    <w:abstractNumId w:val="12"/>
  </w:num>
  <w:num w:numId="26">
    <w:abstractNumId w:val="23"/>
  </w:num>
  <w:num w:numId="27">
    <w:abstractNumId w:val="39"/>
  </w:num>
  <w:num w:numId="28">
    <w:abstractNumId w:val="10"/>
  </w:num>
  <w:num w:numId="29">
    <w:abstractNumId w:val="3"/>
  </w:num>
  <w:num w:numId="30">
    <w:abstractNumId w:val="26"/>
  </w:num>
  <w:num w:numId="31">
    <w:abstractNumId w:val="41"/>
  </w:num>
  <w:num w:numId="32">
    <w:abstractNumId w:val="11"/>
  </w:num>
  <w:num w:numId="33">
    <w:abstractNumId w:val="43"/>
  </w:num>
  <w:num w:numId="34">
    <w:abstractNumId w:val="16"/>
  </w:num>
  <w:num w:numId="35">
    <w:abstractNumId w:val="22"/>
  </w:num>
  <w:num w:numId="36">
    <w:abstractNumId w:val="1"/>
  </w:num>
  <w:num w:numId="37">
    <w:abstractNumId w:val="17"/>
  </w:num>
  <w:num w:numId="38">
    <w:abstractNumId w:val="20"/>
  </w:num>
  <w:num w:numId="39">
    <w:abstractNumId w:val="37"/>
  </w:num>
  <w:num w:numId="40">
    <w:abstractNumId w:val="31"/>
  </w:num>
  <w:num w:numId="41">
    <w:abstractNumId w:val="0"/>
  </w:num>
  <w:num w:numId="42">
    <w:abstractNumId w:val="2"/>
  </w:num>
  <w:num w:numId="43">
    <w:abstractNumId w:val="33"/>
  </w:num>
  <w:num w:numId="44">
    <w:abstractNumId w:val="35"/>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143BC"/>
    <w:rsid w:val="0002481D"/>
    <w:rsid w:val="000328C2"/>
    <w:rsid w:val="0003293C"/>
    <w:rsid w:val="0003328E"/>
    <w:rsid w:val="00035692"/>
    <w:rsid w:val="00036412"/>
    <w:rsid w:val="00036DC6"/>
    <w:rsid w:val="0004371A"/>
    <w:rsid w:val="00046F99"/>
    <w:rsid w:val="00053C87"/>
    <w:rsid w:val="00060C72"/>
    <w:rsid w:val="000674C0"/>
    <w:rsid w:val="000745A9"/>
    <w:rsid w:val="0008249D"/>
    <w:rsid w:val="0008549A"/>
    <w:rsid w:val="000876DB"/>
    <w:rsid w:val="00087F5C"/>
    <w:rsid w:val="00097359"/>
    <w:rsid w:val="000B32E7"/>
    <w:rsid w:val="000B59BA"/>
    <w:rsid w:val="000B720C"/>
    <w:rsid w:val="000C1A7C"/>
    <w:rsid w:val="000C61DC"/>
    <w:rsid w:val="000D12B5"/>
    <w:rsid w:val="000D7D03"/>
    <w:rsid w:val="000E6D51"/>
    <w:rsid w:val="000E7980"/>
    <w:rsid w:val="000E7FA5"/>
    <w:rsid w:val="000F0693"/>
    <w:rsid w:val="000F0ED8"/>
    <w:rsid w:val="000F79CF"/>
    <w:rsid w:val="00100A7D"/>
    <w:rsid w:val="00103BD3"/>
    <w:rsid w:val="0010714D"/>
    <w:rsid w:val="0011143F"/>
    <w:rsid w:val="00112C15"/>
    <w:rsid w:val="00121552"/>
    <w:rsid w:val="00121D7A"/>
    <w:rsid w:val="00125DB6"/>
    <w:rsid w:val="0012736D"/>
    <w:rsid w:val="001375FD"/>
    <w:rsid w:val="00140AF7"/>
    <w:rsid w:val="00142792"/>
    <w:rsid w:val="001427FE"/>
    <w:rsid w:val="001512CA"/>
    <w:rsid w:val="00152525"/>
    <w:rsid w:val="00157146"/>
    <w:rsid w:val="001644C3"/>
    <w:rsid w:val="00172542"/>
    <w:rsid w:val="001732E8"/>
    <w:rsid w:val="001858E3"/>
    <w:rsid w:val="0019117F"/>
    <w:rsid w:val="00192F0D"/>
    <w:rsid w:val="00193DAC"/>
    <w:rsid w:val="001940C6"/>
    <w:rsid w:val="001A1C6B"/>
    <w:rsid w:val="001B05D2"/>
    <w:rsid w:val="001B2DAF"/>
    <w:rsid w:val="001B4660"/>
    <w:rsid w:val="001C03C5"/>
    <w:rsid w:val="001C6058"/>
    <w:rsid w:val="001D1FDA"/>
    <w:rsid w:val="001E1A46"/>
    <w:rsid w:val="001E1AC3"/>
    <w:rsid w:val="001F67A1"/>
    <w:rsid w:val="00220D00"/>
    <w:rsid w:val="00226E9A"/>
    <w:rsid w:val="00230528"/>
    <w:rsid w:val="00232045"/>
    <w:rsid w:val="0023457F"/>
    <w:rsid w:val="00235110"/>
    <w:rsid w:val="002368B6"/>
    <w:rsid w:val="00243017"/>
    <w:rsid w:val="002508D9"/>
    <w:rsid w:val="002619CF"/>
    <w:rsid w:val="00275D21"/>
    <w:rsid w:val="00276C53"/>
    <w:rsid w:val="00283511"/>
    <w:rsid w:val="0029109E"/>
    <w:rsid w:val="002A76BD"/>
    <w:rsid w:val="002B3BAE"/>
    <w:rsid w:val="002B58CC"/>
    <w:rsid w:val="002C5D92"/>
    <w:rsid w:val="002C7DFC"/>
    <w:rsid w:val="002D68DB"/>
    <w:rsid w:val="002D6B46"/>
    <w:rsid w:val="002E3BF6"/>
    <w:rsid w:val="002E773E"/>
    <w:rsid w:val="002F0D6C"/>
    <w:rsid w:val="002F12B2"/>
    <w:rsid w:val="002F342A"/>
    <w:rsid w:val="003035D0"/>
    <w:rsid w:val="00306855"/>
    <w:rsid w:val="00312A77"/>
    <w:rsid w:val="003272F3"/>
    <w:rsid w:val="00337F9A"/>
    <w:rsid w:val="00346F79"/>
    <w:rsid w:val="00347A42"/>
    <w:rsid w:val="003620C3"/>
    <w:rsid w:val="00385566"/>
    <w:rsid w:val="003866D5"/>
    <w:rsid w:val="00387C4D"/>
    <w:rsid w:val="003938FD"/>
    <w:rsid w:val="003A1A0A"/>
    <w:rsid w:val="003B292E"/>
    <w:rsid w:val="003B7E5A"/>
    <w:rsid w:val="003D2328"/>
    <w:rsid w:val="003E7005"/>
    <w:rsid w:val="003F01BF"/>
    <w:rsid w:val="003F0DED"/>
    <w:rsid w:val="003F0F69"/>
    <w:rsid w:val="003F72EA"/>
    <w:rsid w:val="00400151"/>
    <w:rsid w:val="00401BBE"/>
    <w:rsid w:val="00402BBF"/>
    <w:rsid w:val="004122BA"/>
    <w:rsid w:val="004134DF"/>
    <w:rsid w:val="0042346B"/>
    <w:rsid w:val="00453B3D"/>
    <w:rsid w:val="00455424"/>
    <w:rsid w:val="00464F90"/>
    <w:rsid w:val="00472902"/>
    <w:rsid w:val="0048734D"/>
    <w:rsid w:val="00492C2A"/>
    <w:rsid w:val="004A3660"/>
    <w:rsid w:val="004A7123"/>
    <w:rsid w:val="004A7EC2"/>
    <w:rsid w:val="004C4DE3"/>
    <w:rsid w:val="004D701D"/>
    <w:rsid w:val="004F32A2"/>
    <w:rsid w:val="00505655"/>
    <w:rsid w:val="00505756"/>
    <w:rsid w:val="005125B9"/>
    <w:rsid w:val="0051547E"/>
    <w:rsid w:val="00521075"/>
    <w:rsid w:val="005252E5"/>
    <w:rsid w:val="005540D6"/>
    <w:rsid w:val="005609D6"/>
    <w:rsid w:val="00562FD4"/>
    <w:rsid w:val="00565301"/>
    <w:rsid w:val="0058336B"/>
    <w:rsid w:val="00594E51"/>
    <w:rsid w:val="00595311"/>
    <w:rsid w:val="005B3DAE"/>
    <w:rsid w:val="005C79B1"/>
    <w:rsid w:val="005D2395"/>
    <w:rsid w:val="005D63EB"/>
    <w:rsid w:val="00611CD8"/>
    <w:rsid w:val="006136E3"/>
    <w:rsid w:val="0063739A"/>
    <w:rsid w:val="006424B0"/>
    <w:rsid w:val="00653418"/>
    <w:rsid w:val="00654C6B"/>
    <w:rsid w:val="006574A0"/>
    <w:rsid w:val="00661427"/>
    <w:rsid w:val="00664298"/>
    <w:rsid w:val="0067035E"/>
    <w:rsid w:val="00671A69"/>
    <w:rsid w:val="00680D4D"/>
    <w:rsid w:val="006844FB"/>
    <w:rsid w:val="00695965"/>
    <w:rsid w:val="00695F56"/>
    <w:rsid w:val="006A0E47"/>
    <w:rsid w:val="006A1170"/>
    <w:rsid w:val="006A312E"/>
    <w:rsid w:val="006A545E"/>
    <w:rsid w:val="006A731F"/>
    <w:rsid w:val="006A7A1F"/>
    <w:rsid w:val="006B4760"/>
    <w:rsid w:val="006B64D7"/>
    <w:rsid w:val="006B7CA3"/>
    <w:rsid w:val="006C5931"/>
    <w:rsid w:val="006D3378"/>
    <w:rsid w:val="006D34AB"/>
    <w:rsid w:val="006D4159"/>
    <w:rsid w:val="006D7010"/>
    <w:rsid w:val="006E0EB2"/>
    <w:rsid w:val="006E37D7"/>
    <w:rsid w:val="006F26F3"/>
    <w:rsid w:val="006F4303"/>
    <w:rsid w:val="006F75A3"/>
    <w:rsid w:val="00703E44"/>
    <w:rsid w:val="00722046"/>
    <w:rsid w:val="00722C18"/>
    <w:rsid w:val="00722CE1"/>
    <w:rsid w:val="00723443"/>
    <w:rsid w:val="00727AA4"/>
    <w:rsid w:val="00744E50"/>
    <w:rsid w:val="00755E37"/>
    <w:rsid w:val="00757052"/>
    <w:rsid w:val="00766564"/>
    <w:rsid w:val="00766D94"/>
    <w:rsid w:val="00767B49"/>
    <w:rsid w:val="00774825"/>
    <w:rsid w:val="00776F42"/>
    <w:rsid w:val="007817F7"/>
    <w:rsid w:val="00784E17"/>
    <w:rsid w:val="00794BFA"/>
    <w:rsid w:val="007A2B14"/>
    <w:rsid w:val="007A365B"/>
    <w:rsid w:val="007A5933"/>
    <w:rsid w:val="007B6CDC"/>
    <w:rsid w:val="007C13DD"/>
    <w:rsid w:val="007C2AF3"/>
    <w:rsid w:val="007D21AC"/>
    <w:rsid w:val="007E1F06"/>
    <w:rsid w:val="0080265D"/>
    <w:rsid w:val="0080289E"/>
    <w:rsid w:val="008070AF"/>
    <w:rsid w:val="00815CEE"/>
    <w:rsid w:val="00820A56"/>
    <w:rsid w:val="008272D1"/>
    <w:rsid w:val="00834A5E"/>
    <w:rsid w:val="00850179"/>
    <w:rsid w:val="00863E00"/>
    <w:rsid w:val="00865399"/>
    <w:rsid w:val="00867DEA"/>
    <w:rsid w:val="00871F05"/>
    <w:rsid w:val="00892984"/>
    <w:rsid w:val="008B4D61"/>
    <w:rsid w:val="008B7810"/>
    <w:rsid w:val="008C6EC9"/>
    <w:rsid w:val="008D0DDC"/>
    <w:rsid w:val="008E1AA6"/>
    <w:rsid w:val="00903482"/>
    <w:rsid w:val="00912CFD"/>
    <w:rsid w:val="0091407D"/>
    <w:rsid w:val="00936139"/>
    <w:rsid w:val="00936CDC"/>
    <w:rsid w:val="0094474B"/>
    <w:rsid w:val="00946544"/>
    <w:rsid w:val="00962923"/>
    <w:rsid w:val="00967480"/>
    <w:rsid w:val="009729E0"/>
    <w:rsid w:val="0098243B"/>
    <w:rsid w:val="00983E81"/>
    <w:rsid w:val="00985CD3"/>
    <w:rsid w:val="00985F00"/>
    <w:rsid w:val="00991C96"/>
    <w:rsid w:val="00992034"/>
    <w:rsid w:val="009B46CE"/>
    <w:rsid w:val="009C341E"/>
    <w:rsid w:val="009C4D7B"/>
    <w:rsid w:val="009E295A"/>
    <w:rsid w:val="009E3AE8"/>
    <w:rsid w:val="009E3C23"/>
    <w:rsid w:val="009F30C3"/>
    <w:rsid w:val="009F3B1C"/>
    <w:rsid w:val="00A05F5D"/>
    <w:rsid w:val="00A105D9"/>
    <w:rsid w:val="00A10E62"/>
    <w:rsid w:val="00A136CF"/>
    <w:rsid w:val="00A175F7"/>
    <w:rsid w:val="00A20D84"/>
    <w:rsid w:val="00A31B42"/>
    <w:rsid w:val="00A34E1C"/>
    <w:rsid w:val="00A36DD9"/>
    <w:rsid w:val="00A370B3"/>
    <w:rsid w:val="00A41BCB"/>
    <w:rsid w:val="00A616E5"/>
    <w:rsid w:val="00A764C4"/>
    <w:rsid w:val="00A82094"/>
    <w:rsid w:val="00A84D8E"/>
    <w:rsid w:val="00A9729E"/>
    <w:rsid w:val="00AA0B04"/>
    <w:rsid w:val="00AB73C2"/>
    <w:rsid w:val="00AC26D3"/>
    <w:rsid w:val="00AD0E2F"/>
    <w:rsid w:val="00AE44A0"/>
    <w:rsid w:val="00AE6C2A"/>
    <w:rsid w:val="00AF573C"/>
    <w:rsid w:val="00AF6AE0"/>
    <w:rsid w:val="00B003F4"/>
    <w:rsid w:val="00B06061"/>
    <w:rsid w:val="00B10F73"/>
    <w:rsid w:val="00B145B7"/>
    <w:rsid w:val="00B2008B"/>
    <w:rsid w:val="00B315C8"/>
    <w:rsid w:val="00B45615"/>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2484"/>
    <w:rsid w:val="00BE2FDE"/>
    <w:rsid w:val="00BE476F"/>
    <w:rsid w:val="00BE7F79"/>
    <w:rsid w:val="00BF1861"/>
    <w:rsid w:val="00C030DC"/>
    <w:rsid w:val="00C03A96"/>
    <w:rsid w:val="00C07312"/>
    <w:rsid w:val="00C1110F"/>
    <w:rsid w:val="00C34A67"/>
    <w:rsid w:val="00C40B88"/>
    <w:rsid w:val="00C4400F"/>
    <w:rsid w:val="00C45B92"/>
    <w:rsid w:val="00C4617B"/>
    <w:rsid w:val="00C50CCB"/>
    <w:rsid w:val="00C527FC"/>
    <w:rsid w:val="00C52BD7"/>
    <w:rsid w:val="00C52C1A"/>
    <w:rsid w:val="00C54C98"/>
    <w:rsid w:val="00C62036"/>
    <w:rsid w:val="00C704F6"/>
    <w:rsid w:val="00C70A22"/>
    <w:rsid w:val="00C74092"/>
    <w:rsid w:val="00C84FD3"/>
    <w:rsid w:val="00C857AD"/>
    <w:rsid w:val="00C937CC"/>
    <w:rsid w:val="00CA05B1"/>
    <w:rsid w:val="00CB71A2"/>
    <w:rsid w:val="00CE2A8A"/>
    <w:rsid w:val="00CE7063"/>
    <w:rsid w:val="00D02094"/>
    <w:rsid w:val="00D05745"/>
    <w:rsid w:val="00D05B9D"/>
    <w:rsid w:val="00D33A4E"/>
    <w:rsid w:val="00D472EA"/>
    <w:rsid w:val="00D72B7B"/>
    <w:rsid w:val="00D73055"/>
    <w:rsid w:val="00D831A9"/>
    <w:rsid w:val="00D85763"/>
    <w:rsid w:val="00D865A9"/>
    <w:rsid w:val="00D90FF5"/>
    <w:rsid w:val="00D92C4E"/>
    <w:rsid w:val="00DB2916"/>
    <w:rsid w:val="00DC1735"/>
    <w:rsid w:val="00DC701B"/>
    <w:rsid w:val="00DC7625"/>
    <w:rsid w:val="00DD2E8B"/>
    <w:rsid w:val="00DD6139"/>
    <w:rsid w:val="00DE2545"/>
    <w:rsid w:val="00DF2D73"/>
    <w:rsid w:val="00E122F4"/>
    <w:rsid w:val="00E15F6F"/>
    <w:rsid w:val="00E31102"/>
    <w:rsid w:val="00E32177"/>
    <w:rsid w:val="00E33AE7"/>
    <w:rsid w:val="00E354A8"/>
    <w:rsid w:val="00E44E27"/>
    <w:rsid w:val="00E50600"/>
    <w:rsid w:val="00E54A3B"/>
    <w:rsid w:val="00E57DDC"/>
    <w:rsid w:val="00E654DC"/>
    <w:rsid w:val="00E75FDB"/>
    <w:rsid w:val="00E83E6E"/>
    <w:rsid w:val="00E869DD"/>
    <w:rsid w:val="00E900AD"/>
    <w:rsid w:val="00E934CF"/>
    <w:rsid w:val="00E941AD"/>
    <w:rsid w:val="00EA1418"/>
    <w:rsid w:val="00EA206E"/>
    <w:rsid w:val="00EC022C"/>
    <w:rsid w:val="00EC0E83"/>
    <w:rsid w:val="00ED0CC7"/>
    <w:rsid w:val="00ED7147"/>
    <w:rsid w:val="00EE28D6"/>
    <w:rsid w:val="00EE497E"/>
    <w:rsid w:val="00EE502D"/>
    <w:rsid w:val="00EF67D0"/>
    <w:rsid w:val="00F10078"/>
    <w:rsid w:val="00F24D5D"/>
    <w:rsid w:val="00F40244"/>
    <w:rsid w:val="00F40BB1"/>
    <w:rsid w:val="00F539FB"/>
    <w:rsid w:val="00F56F00"/>
    <w:rsid w:val="00F654C9"/>
    <w:rsid w:val="00F67874"/>
    <w:rsid w:val="00F810E5"/>
    <w:rsid w:val="00F83D3F"/>
    <w:rsid w:val="00F8488E"/>
    <w:rsid w:val="00F93579"/>
    <w:rsid w:val="00FB1A56"/>
    <w:rsid w:val="00FC6832"/>
    <w:rsid w:val="00FF7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 w:type="character" w:customStyle="1" w:styleId="UnresolvedMention">
    <w:name w:val="Unresolved Mention"/>
    <w:basedOn w:val="DefaultParagraphFont"/>
    <w:uiPriority w:val="99"/>
    <w:semiHidden/>
    <w:unhideWhenUsed/>
    <w:rsid w:val="00C4400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 w:type="character" w:customStyle="1" w:styleId="UnresolvedMention">
    <w:name w:val="Unresolved Mention"/>
    <w:basedOn w:val="DefaultParagraphFont"/>
    <w:uiPriority w:val="99"/>
    <w:semiHidden/>
    <w:unhideWhenUsed/>
    <w:rsid w:val="00C44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www.amle.org/BrowsebyTopic/WhatsNew/WNDet/TabId/270/ArtMID/888/ArticleID/607/3-Tips-for-Teaching-Speaking-and-Listening-Skills.aspx" TargetMode="External"/><Relationship Id="rId21" Type="http://schemas.openxmlformats.org/officeDocument/2006/relationships/hyperlink" Target="https://www.amle.org/BrowsebyTopic/WhatsNew/WNDet/TabId/270/ArtMID/888/ArticleID/607/3-Tips-for-Teaching-Speaking-and-Listening-Skills.aspx" TargetMode="External"/><Relationship Id="rId22" Type="http://schemas.openxmlformats.org/officeDocument/2006/relationships/hyperlink" Target="https://extension.umaine.edu/publications/wp-content/uploads/sites/82/2015/04/6103.pdf" TargetMode="External"/><Relationship Id="rId23" Type="http://schemas.openxmlformats.org/officeDocument/2006/relationships/hyperlink" Target="https://extension.umaine.edu/publications/wp-content/uploads/sites/82/2015/04/6103.pdf" TargetMode="External"/><Relationship Id="rId24" Type="http://schemas.openxmlformats.org/officeDocument/2006/relationships/hyperlink" Target="https://www.mindtools.com/CommSkll/SpeakingToAnAudience.htm" TargetMode="External"/><Relationship Id="rId25" Type="http://schemas.openxmlformats.org/officeDocument/2006/relationships/hyperlink" Target="https://www.mindtools.com/CommSkll/SpeakingToAnAudience.htm"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careeronestop.org/" TargetMode="External"/><Relationship Id="rId11" Type="http://schemas.openxmlformats.org/officeDocument/2006/relationships/hyperlink" Target="https://www.careeronestop.org/" TargetMode="External"/><Relationship Id="rId12" Type="http://schemas.openxmlformats.org/officeDocument/2006/relationships/hyperlink" Target="http://ctetrailblazers.org/" TargetMode="External"/><Relationship Id="rId13" Type="http://schemas.openxmlformats.org/officeDocument/2006/relationships/hyperlink" Target="http://ctetrailblazers.org/" TargetMode="External"/><Relationship Id="rId14" Type="http://schemas.openxmlformats.org/officeDocument/2006/relationships/hyperlink" Target="https://www.vawizard.org/wizard/home" TargetMode="External"/><Relationship Id="rId15" Type="http://schemas.openxmlformats.org/officeDocument/2006/relationships/hyperlink" Target="https://www.vawizard.org/wizard/home" TargetMode="External"/><Relationship Id="rId16" Type="http://schemas.openxmlformats.org/officeDocument/2006/relationships/hyperlink" Target="http://byf.org/" TargetMode="External"/><Relationship Id="rId17" Type="http://schemas.openxmlformats.org/officeDocument/2006/relationships/hyperlink" Target="http://byf.org/" TargetMode="External"/><Relationship Id="rId18" Type="http://schemas.openxmlformats.org/officeDocument/2006/relationships/hyperlink" Target="https://www.mynextmove.org/" TargetMode="External"/><Relationship Id="rId19" Type="http://schemas.openxmlformats.org/officeDocument/2006/relationships/hyperlink" Target="https://www.mynextmove.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E2A41-CC70-3D4F-A1A3-CFCE16EC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5942</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2017-08-24T16:52:00Z</cp:lastPrinted>
  <dcterms:created xsi:type="dcterms:W3CDTF">2019-07-18T15:46:00Z</dcterms:created>
  <dcterms:modified xsi:type="dcterms:W3CDTF">2019-07-18T15:46:00Z</dcterms:modified>
</cp:coreProperties>
</file>