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  <w:rPr>
          <w:color w:val="595959"/>
        </w:rPr>
      </w:pPr>
      <w:r>
        <w:rPr>
          <w:color w:val="595959"/>
        </w:rPr>
        <w:t>Lesson Plan</w:t>
      </w:r>
    </w:p>
    <w:p w:rsidR="00654C6B" w:rsidRPr="00654C6B" w:rsidRDefault="00661427" w:rsidP="00654C6B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4408170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4C6B">
        <w:t>Reading</w:t>
      </w:r>
      <w:r w:rsidR="00BE2FDE">
        <w:t xml:space="preserve"> for Business: </w:t>
      </w:r>
      <w:r w:rsidR="00654C6B">
        <w:br/>
      </w:r>
      <w:r w:rsidR="00654C6B">
        <w:br/>
      </w:r>
      <w:r w:rsidR="00654C6B" w:rsidRPr="00654C6B">
        <w:rPr>
          <w:sz w:val="44"/>
          <w:szCs w:val="44"/>
        </w:rPr>
        <w:t>Comprehending Informational Texts</w:t>
      </w:r>
    </w:p>
    <w:p w:rsidR="004F32A2" w:rsidRDefault="004F32A2"/>
    <w:p w:rsidR="004F32A2" w:rsidRDefault="00661427">
      <w:r>
        <w:rPr>
          <w:color w:val="5A5A5A"/>
        </w:rPr>
        <w:t>Objective</w:t>
      </w:r>
      <w:r w:rsidR="003035D0">
        <w:t xml:space="preserve">: Students will </w:t>
      </w:r>
      <w:r w:rsidR="00654C6B">
        <w:t>read and demonstrate comprehension of informational texts</w:t>
      </w:r>
      <w:r w:rsidR="00850179">
        <w:t>.</w:t>
      </w:r>
    </w:p>
    <w:p w:rsidR="004F32A2" w:rsidRDefault="004F32A2"/>
    <w:p w:rsidR="00850179" w:rsidRDefault="00661427" w:rsidP="00850179">
      <w:r>
        <w:rPr>
          <w:color w:val="5A5A5A"/>
        </w:rPr>
        <w:t>Workplace Readiness Skill:</w:t>
      </w:r>
      <w:r>
        <w:t xml:space="preserve"> </w:t>
      </w:r>
      <w:r w:rsidR="00850179" w:rsidRPr="00850179">
        <w:rPr>
          <w:b/>
        </w:rPr>
        <w:t>Demonstrate reading and writing skills.</w:t>
      </w:r>
    </w:p>
    <w:p w:rsidR="00850179" w:rsidRDefault="00850179" w:rsidP="00850179"/>
    <w:p w:rsidR="002D73A8" w:rsidRPr="002D73A8" w:rsidRDefault="002D73A8" w:rsidP="002D73A8">
      <w:pPr>
        <w:rPr>
          <w:i/>
        </w:rPr>
      </w:pPr>
      <w:r w:rsidRPr="002D73A8">
        <w:rPr>
          <w:i/>
        </w:rPr>
        <w:t xml:space="preserve">Demonstration includes </w:t>
      </w:r>
    </w:p>
    <w:p w:rsidR="002D73A8" w:rsidRPr="002D73A8" w:rsidRDefault="002D73A8" w:rsidP="002D73A8">
      <w:pPr>
        <w:pStyle w:val="ListParagraph"/>
        <w:numPr>
          <w:ilvl w:val="0"/>
          <w:numId w:val="21"/>
        </w:numPr>
        <w:rPr>
          <w:i/>
        </w:rPr>
      </w:pPr>
      <w:r w:rsidRPr="002D73A8">
        <w:rPr>
          <w:i/>
        </w:rPr>
        <w:t xml:space="preserve">reading and interpreting workplace documents </w:t>
      </w:r>
    </w:p>
    <w:p w:rsidR="002D73A8" w:rsidRPr="002D73A8" w:rsidRDefault="002D73A8" w:rsidP="002D73A8">
      <w:pPr>
        <w:pStyle w:val="ListParagraph"/>
        <w:numPr>
          <w:ilvl w:val="0"/>
          <w:numId w:val="21"/>
        </w:numPr>
        <w:rPr>
          <w:i/>
        </w:rPr>
      </w:pPr>
      <w:r w:rsidRPr="002D73A8">
        <w:rPr>
          <w:i/>
        </w:rPr>
        <w:t xml:space="preserve">effectively writing workplace documents, considering </w:t>
      </w:r>
    </w:p>
    <w:p w:rsidR="002D73A8" w:rsidRPr="002D73A8" w:rsidRDefault="002D73A8" w:rsidP="002D73A8">
      <w:pPr>
        <w:pStyle w:val="ListParagraph"/>
        <w:numPr>
          <w:ilvl w:val="1"/>
          <w:numId w:val="21"/>
        </w:numPr>
        <w:rPr>
          <w:i/>
        </w:rPr>
      </w:pPr>
      <w:r w:rsidRPr="002D73A8">
        <w:rPr>
          <w:i/>
        </w:rPr>
        <w:t xml:space="preserve">ability to convey messages with clarity </w:t>
      </w:r>
    </w:p>
    <w:p w:rsidR="002D73A8" w:rsidRPr="002D73A8" w:rsidRDefault="002D73A8" w:rsidP="002D73A8">
      <w:pPr>
        <w:pStyle w:val="ListParagraph"/>
        <w:numPr>
          <w:ilvl w:val="1"/>
          <w:numId w:val="21"/>
        </w:numPr>
        <w:rPr>
          <w:i/>
        </w:rPr>
      </w:pPr>
      <w:r w:rsidRPr="002D73A8">
        <w:rPr>
          <w:i/>
        </w:rPr>
        <w:t xml:space="preserve">professional tone, appropriate to audience </w:t>
      </w:r>
    </w:p>
    <w:p w:rsidR="002D73A8" w:rsidRPr="002D73A8" w:rsidRDefault="002D73A8" w:rsidP="002D73A8">
      <w:pPr>
        <w:pStyle w:val="ListParagraph"/>
        <w:numPr>
          <w:ilvl w:val="1"/>
          <w:numId w:val="21"/>
        </w:numPr>
        <w:rPr>
          <w:i/>
        </w:rPr>
      </w:pPr>
      <w:r w:rsidRPr="002D73A8">
        <w:rPr>
          <w:i/>
        </w:rPr>
        <w:t xml:space="preserve">grammar </w:t>
      </w:r>
    </w:p>
    <w:p w:rsidR="002D73A8" w:rsidRPr="002D73A8" w:rsidRDefault="002D73A8" w:rsidP="002D73A8">
      <w:pPr>
        <w:pStyle w:val="ListParagraph"/>
        <w:numPr>
          <w:ilvl w:val="1"/>
          <w:numId w:val="21"/>
        </w:numPr>
        <w:rPr>
          <w:i/>
        </w:rPr>
      </w:pPr>
      <w:r w:rsidRPr="002D73A8">
        <w:rPr>
          <w:i/>
        </w:rPr>
        <w:t xml:space="preserve">forms and conventions (e.g., formatting documents, using an email signature). </w:t>
      </w:r>
    </w:p>
    <w:p w:rsidR="004F32A2" w:rsidRDefault="004F32A2"/>
    <w:p w:rsidR="004F32A2" w:rsidRDefault="00661427">
      <w:pPr>
        <w:pStyle w:val="Subtitle"/>
      </w:pPr>
      <w:r>
        <w:t>Correlations to Other Workplace Readiness Skills:</w:t>
      </w:r>
    </w:p>
    <w:p w:rsidR="004F32A2" w:rsidRDefault="00661427" w:rsidP="002E3BF6">
      <w:pPr>
        <w:numPr>
          <w:ilvl w:val="0"/>
          <w:numId w:val="11"/>
        </w:numPr>
        <w:contextualSpacing/>
      </w:pPr>
      <w:r>
        <w:t xml:space="preserve">Demonstrate </w:t>
      </w:r>
      <w:r w:rsidR="002D73A8">
        <w:t>big-picture thinking</w:t>
      </w:r>
      <w:r>
        <w:t>.</w:t>
      </w:r>
    </w:p>
    <w:p w:rsidR="00794BFA" w:rsidRDefault="00794BFA" w:rsidP="00794BFA">
      <w:pPr>
        <w:pStyle w:val="ListParagraph"/>
        <w:numPr>
          <w:ilvl w:val="0"/>
          <w:numId w:val="11"/>
        </w:numPr>
      </w:pPr>
      <w:r w:rsidRPr="00794BFA">
        <w:t xml:space="preserve">Demonstrate </w:t>
      </w:r>
      <w:r w:rsidR="002D73A8">
        <w:t>career- and life-management skills</w:t>
      </w:r>
      <w:r w:rsidRPr="00794BFA">
        <w:t>.</w:t>
      </w:r>
    </w:p>
    <w:p w:rsidR="005252E5" w:rsidRDefault="005252E5" w:rsidP="005252E5">
      <w:pPr>
        <w:pStyle w:val="ListParagraph"/>
        <w:numPr>
          <w:ilvl w:val="0"/>
          <w:numId w:val="11"/>
        </w:numPr>
      </w:pPr>
      <w:r w:rsidRPr="005252E5">
        <w:t xml:space="preserve">Demonstrate </w:t>
      </w:r>
      <w:r w:rsidR="002D73A8">
        <w:t>information-literacy skills.</w:t>
      </w:r>
    </w:p>
    <w:p w:rsidR="002D73A8" w:rsidRDefault="002D73A8" w:rsidP="005252E5">
      <w:pPr>
        <w:pStyle w:val="ListParagraph"/>
        <w:numPr>
          <w:ilvl w:val="0"/>
          <w:numId w:val="11"/>
        </w:numPr>
      </w:pPr>
      <w:r>
        <w:t>Demonstrate professionalism.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B05D61">
        <w:t xml:space="preserve">the </w:t>
      </w:r>
      <w:r>
        <w:t>Virginia Standards of Learning (SOL):</w:t>
      </w:r>
    </w:p>
    <w:p w:rsidR="004F32A2" w:rsidRDefault="00661427" w:rsidP="00703E44">
      <w:pPr>
        <w:ind w:left="720"/>
      </w:pPr>
      <w:r>
        <w:t>English: 6.</w:t>
      </w:r>
      <w:r w:rsidR="00DC7625">
        <w:t>6</w:t>
      </w:r>
      <w:r>
        <w:t>, 6.</w:t>
      </w:r>
      <w:r w:rsidR="0048734D">
        <w:t>7, 7.</w:t>
      </w:r>
      <w:r w:rsidR="00DC7625">
        <w:t>6</w:t>
      </w:r>
      <w:r w:rsidR="0048734D">
        <w:t>, 7.7, 8.</w:t>
      </w:r>
      <w:r w:rsidR="00DC7625">
        <w:t>6</w:t>
      </w:r>
      <w:r>
        <w:t>, 8.7, 9.</w:t>
      </w:r>
      <w:r w:rsidR="00A616E5">
        <w:t>5</w:t>
      </w:r>
      <w:r>
        <w:t>, 9.6, 10.</w:t>
      </w:r>
      <w:r w:rsidR="00A616E5">
        <w:t>5</w:t>
      </w:r>
      <w:r>
        <w:t xml:space="preserve">, 10.6, </w:t>
      </w:r>
      <w:r w:rsidR="00A616E5">
        <w:t>11.5</w:t>
      </w:r>
      <w:r>
        <w:t xml:space="preserve">, 11.6, </w:t>
      </w:r>
      <w:r w:rsidR="00A616E5">
        <w:t>12.5</w:t>
      </w:r>
      <w:r>
        <w:t>, 12.6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1427FE" w:rsidRDefault="00565301" w:rsidP="00DD2E8B">
      <w:pPr>
        <w:numPr>
          <w:ilvl w:val="0"/>
          <w:numId w:val="7"/>
        </w:numPr>
        <w:spacing w:line="276" w:lineRule="auto"/>
        <w:ind w:hanging="360"/>
        <w:contextualSpacing/>
      </w:pPr>
      <w:bookmarkStart w:id="0" w:name="_re73w7colfwk" w:colFirst="0" w:colLast="0"/>
      <w:bookmarkEnd w:id="0"/>
      <w:r>
        <w:rPr>
          <w:b/>
          <w:i/>
        </w:rPr>
        <w:t>Introduce lesson by displaying board game pieces and asking students to list favorite board games.</w:t>
      </w:r>
      <w:r w:rsidR="00661427">
        <w:t xml:space="preserve"> </w:t>
      </w:r>
      <w:bookmarkStart w:id="1" w:name="_g692azh9grg3" w:colFirst="0" w:colLast="0"/>
      <w:bookmarkStart w:id="2" w:name="_4c67i2rlvlhp" w:colFirst="0" w:colLast="0"/>
      <w:bookmarkEnd w:id="1"/>
      <w:bookmarkEnd w:id="2"/>
      <w:r>
        <w:t xml:space="preserve">Explain that, to play any game (board game, sport, or online game), people need to understand the rules of play. Ask: </w:t>
      </w:r>
      <w:r w:rsidR="00B05D61">
        <w:t>“</w:t>
      </w:r>
      <w:r w:rsidRPr="00B05D61">
        <w:t>How many of you have gotten into an argument over the rules of a game or fair play?</w:t>
      </w:r>
      <w:r w:rsidR="00B05D61">
        <w:t>”</w:t>
      </w:r>
      <w:r>
        <w:t xml:space="preserve"> It is likely that most, if not all, students have experienced this. Explain that this lesson will focus on using reading strategies to tackle informational instructions for a board game. Explain that skills practiced in this lesson will apply to many situations in the workplace, where informational texts such as </w:t>
      </w:r>
      <w:r w:rsidR="00596F38">
        <w:t xml:space="preserve">manufacturers’ instructions, </w:t>
      </w:r>
      <w:r>
        <w:t>user manuals, acceptable use policies, and reports are common.</w:t>
      </w:r>
    </w:p>
    <w:p w:rsidR="00654C6B" w:rsidRDefault="00654C6B" w:rsidP="00654C6B">
      <w:pPr>
        <w:spacing w:line="276" w:lineRule="auto"/>
        <w:ind w:left="720"/>
        <w:contextualSpacing/>
      </w:pPr>
    </w:p>
    <w:p w:rsidR="00492C2A" w:rsidRDefault="00565301" w:rsidP="00492C2A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Brainstorm/introduce reading strategies</w:t>
      </w:r>
      <w:r w:rsidR="00755E37">
        <w:t xml:space="preserve">. </w:t>
      </w:r>
      <w:r>
        <w:t>Ask students what strategies are helpful when reading a piece of informational text. Answers may include</w:t>
      </w:r>
    </w:p>
    <w:p w:rsidR="00492C2A" w:rsidRDefault="00492C2A" w:rsidP="00492C2A">
      <w:pPr>
        <w:pStyle w:val="ListParagraph"/>
      </w:pPr>
    </w:p>
    <w:p w:rsidR="00492C2A" w:rsidRDefault="00492C2A" w:rsidP="00492C2A">
      <w:pPr>
        <w:pStyle w:val="ListParagraph"/>
        <w:numPr>
          <w:ilvl w:val="0"/>
          <w:numId w:val="17"/>
        </w:numPr>
      </w:pPr>
      <w:r>
        <w:t>considering previous knowledge of the subject</w:t>
      </w:r>
    </w:p>
    <w:p w:rsidR="00492C2A" w:rsidRDefault="00565301" w:rsidP="00492C2A">
      <w:pPr>
        <w:pStyle w:val="ListParagraph"/>
        <w:numPr>
          <w:ilvl w:val="0"/>
          <w:numId w:val="17"/>
        </w:numPr>
      </w:pPr>
      <w:r>
        <w:t>scan</w:t>
      </w:r>
      <w:r w:rsidR="00492C2A">
        <w:t>ning</w:t>
      </w:r>
      <w:r>
        <w:t xml:space="preserve"> the text to see how it is organized</w:t>
      </w:r>
    </w:p>
    <w:p w:rsidR="00492C2A" w:rsidRDefault="00565301" w:rsidP="00492C2A">
      <w:pPr>
        <w:pStyle w:val="ListParagraph"/>
        <w:numPr>
          <w:ilvl w:val="0"/>
          <w:numId w:val="17"/>
        </w:numPr>
      </w:pPr>
      <w:r>
        <w:t>look</w:t>
      </w:r>
      <w:r w:rsidR="00492C2A">
        <w:t>ing</w:t>
      </w:r>
      <w:r>
        <w:t xml:space="preserve"> at titles and headings to get an idea of the larger topics and text organization</w:t>
      </w:r>
    </w:p>
    <w:p w:rsidR="00492C2A" w:rsidRDefault="00565301" w:rsidP="00492C2A">
      <w:pPr>
        <w:pStyle w:val="ListParagraph"/>
        <w:numPr>
          <w:ilvl w:val="0"/>
          <w:numId w:val="17"/>
        </w:numPr>
      </w:pPr>
      <w:r>
        <w:t>look</w:t>
      </w:r>
      <w:r w:rsidR="00492C2A">
        <w:t>ing</w:t>
      </w:r>
      <w:r>
        <w:t xml:space="preserve"> for diagrams, pictures, or cha</w:t>
      </w:r>
      <w:r w:rsidR="00492C2A">
        <w:t>rts of information</w:t>
      </w:r>
    </w:p>
    <w:p w:rsidR="00492C2A" w:rsidRDefault="00492C2A" w:rsidP="00492C2A">
      <w:pPr>
        <w:pStyle w:val="ListParagraph"/>
        <w:numPr>
          <w:ilvl w:val="0"/>
          <w:numId w:val="17"/>
        </w:numPr>
      </w:pPr>
      <w:r>
        <w:t>formulating</w:t>
      </w:r>
      <w:r w:rsidR="00565301">
        <w:t xml:space="preserve"> questions to be answered prior to reading</w:t>
      </w:r>
    </w:p>
    <w:p w:rsidR="00492C2A" w:rsidRDefault="00565301" w:rsidP="00492C2A">
      <w:pPr>
        <w:pStyle w:val="ListParagraph"/>
        <w:numPr>
          <w:ilvl w:val="0"/>
          <w:numId w:val="17"/>
        </w:numPr>
      </w:pPr>
      <w:r>
        <w:t>highlighting key sentences or phrases</w:t>
      </w:r>
    </w:p>
    <w:p w:rsidR="00492C2A" w:rsidRDefault="00565301" w:rsidP="00492C2A">
      <w:pPr>
        <w:pStyle w:val="ListParagraph"/>
        <w:numPr>
          <w:ilvl w:val="0"/>
          <w:numId w:val="17"/>
        </w:numPr>
      </w:pPr>
      <w:r>
        <w:t>re-reading important sections of text</w:t>
      </w:r>
    </w:p>
    <w:p w:rsidR="00492C2A" w:rsidRDefault="00492C2A" w:rsidP="00492C2A">
      <w:pPr>
        <w:pStyle w:val="ListParagraph"/>
        <w:numPr>
          <w:ilvl w:val="0"/>
          <w:numId w:val="17"/>
        </w:numPr>
      </w:pPr>
      <w:r>
        <w:t>summarizing the important points</w:t>
      </w:r>
    </w:p>
    <w:p w:rsidR="00492C2A" w:rsidRDefault="00492C2A" w:rsidP="00492C2A">
      <w:pPr>
        <w:pStyle w:val="ListParagraph"/>
        <w:numPr>
          <w:ilvl w:val="0"/>
          <w:numId w:val="17"/>
        </w:numPr>
      </w:pPr>
      <w:r>
        <w:lastRenderedPageBreak/>
        <w:t>taking notes in the margin or in a notebook</w:t>
      </w:r>
    </w:p>
    <w:p w:rsidR="00492C2A" w:rsidRDefault="00492C2A" w:rsidP="00492C2A">
      <w:pPr>
        <w:pStyle w:val="ListParagraph"/>
        <w:numPr>
          <w:ilvl w:val="0"/>
          <w:numId w:val="17"/>
        </w:numPr>
      </w:pPr>
      <w:r>
        <w:t xml:space="preserve">discussing the topic with a peer or teacher after reading about it. </w:t>
      </w:r>
    </w:p>
    <w:p w:rsidR="00492C2A" w:rsidRDefault="00492C2A" w:rsidP="00492C2A"/>
    <w:p w:rsidR="00680D4D" w:rsidRDefault="00492C2A" w:rsidP="00492C2A">
      <w:pPr>
        <w:ind w:left="720"/>
      </w:pPr>
      <w:r>
        <w:t>After discussing strategies, ask students to choose three that they would like to focus on while reading board game instructions in today’s lesson.</w:t>
      </w:r>
      <w:r w:rsidR="000745A9">
        <w:br/>
      </w:r>
    </w:p>
    <w:p w:rsidR="0080289E" w:rsidRPr="0080289E" w:rsidRDefault="0080289E" w:rsidP="0080289E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 xml:space="preserve">Distribute printed document or share URL for online document. </w:t>
      </w:r>
      <w:r>
        <w:t>There are two options for reading</w:t>
      </w:r>
      <w:r w:rsidR="00596F38">
        <w:t xml:space="preserve"> informational text in this lesson</w:t>
      </w:r>
      <w:r>
        <w:t xml:space="preserve">: reading a printed document, or reading </w:t>
      </w:r>
      <w:r w:rsidR="00596F38">
        <w:t xml:space="preserve">information </w:t>
      </w:r>
      <w:r>
        <w:t xml:space="preserve">online. If students will be reading a printed document, consider using the instructions for </w:t>
      </w:r>
      <w:hyperlink r:id="rId10" w:history="1">
        <w:r w:rsidRPr="0080289E">
          <w:rPr>
            <w:rStyle w:val="Hyperlink"/>
          </w:rPr>
          <w:t>Monopoly</w:t>
        </w:r>
      </w:hyperlink>
      <w:r>
        <w:t xml:space="preserve"> (</w:t>
      </w:r>
      <w:hyperlink r:id="rId11" w:history="1">
        <w:r w:rsidRPr="00E12005">
          <w:rPr>
            <w:rStyle w:val="Hyperlink"/>
          </w:rPr>
          <w:t>https://www.hasbro.com/common/instruct/00009.pdf</w:t>
        </w:r>
      </w:hyperlink>
      <w:r>
        <w:t xml:space="preserve">) or </w:t>
      </w:r>
      <w:hyperlink r:id="rId12" w:history="1">
        <w:r w:rsidRPr="0080289E">
          <w:rPr>
            <w:rStyle w:val="Hyperlink"/>
          </w:rPr>
          <w:t>Risk</w:t>
        </w:r>
      </w:hyperlink>
      <w:r>
        <w:t xml:space="preserve"> (</w:t>
      </w:r>
      <w:hyperlink r:id="rId13" w:history="1">
        <w:r w:rsidRPr="00E12005">
          <w:rPr>
            <w:rStyle w:val="Hyperlink"/>
          </w:rPr>
          <w:t>https://www.hasbro.com/common/instruct/risk.pdf</w:t>
        </w:r>
      </w:hyperlink>
      <w:r>
        <w:t xml:space="preserve">) (more challenging). If technology allows and students will be reading information online, consider using instructions for </w:t>
      </w:r>
      <w:hyperlink r:id="rId14" w:history="1">
        <w:r w:rsidRPr="0080289E">
          <w:rPr>
            <w:rStyle w:val="Hyperlink"/>
          </w:rPr>
          <w:t>Scrabble</w:t>
        </w:r>
      </w:hyperlink>
      <w:r>
        <w:t xml:space="preserve"> (</w:t>
      </w:r>
      <w:hyperlink r:id="rId15" w:history="1">
        <w:r w:rsidRPr="00E12005">
          <w:rPr>
            <w:rStyle w:val="Hyperlink"/>
          </w:rPr>
          <w:t>https://scrabble.hasbro.com/en-us/rules</w:t>
        </w:r>
      </w:hyperlink>
      <w:r>
        <w:t>).</w:t>
      </w:r>
      <w:r w:rsidR="002E773E">
        <w:t xml:space="preserve"> Other game instructions may be searched/used according to student interest.</w:t>
      </w:r>
      <w:r>
        <w:br/>
      </w:r>
    </w:p>
    <w:p w:rsidR="00680D4D" w:rsidRDefault="00A84D8E" w:rsidP="0080289E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 xml:space="preserve">Distribute K-W-L chart. </w:t>
      </w:r>
      <w:r w:rsidR="00680D4D" w:rsidRPr="00680D4D">
        <w:rPr>
          <w:b/>
          <w:i/>
        </w:rPr>
        <w:t>As</w:t>
      </w:r>
      <w:r w:rsidR="00492C2A">
        <w:rPr>
          <w:b/>
          <w:i/>
        </w:rPr>
        <w:t xml:space="preserve"> a whole group or in small groups, complete the </w:t>
      </w:r>
      <w:r w:rsidR="002E773E">
        <w:rPr>
          <w:b/>
          <w:i/>
        </w:rPr>
        <w:t xml:space="preserve">first two columns of a </w:t>
      </w:r>
      <w:r w:rsidR="00492C2A">
        <w:rPr>
          <w:b/>
          <w:i/>
        </w:rPr>
        <w:t>K-W-L</w:t>
      </w:r>
      <w:r w:rsidR="0080289E">
        <w:rPr>
          <w:b/>
          <w:i/>
        </w:rPr>
        <w:t xml:space="preserve"> chart about the board game. </w:t>
      </w:r>
      <w:r w:rsidR="002E773E">
        <w:t xml:space="preserve">List student knowledge and questions on a large/projected version of the chart. Remind students that keeping questions in mind prior to beginning a reading of informational text can </w:t>
      </w:r>
      <w:r w:rsidR="00E654DC">
        <w:t>increase</w:t>
      </w:r>
      <w:r w:rsidR="002E773E">
        <w:t xml:space="preserve"> focus on relevant information in the text. </w:t>
      </w:r>
    </w:p>
    <w:p w:rsidR="002E773E" w:rsidRDefault="002E773E" w:rsidP="002E773E">
      <w:pPr>
        <w:ind w:left="720"/>
        <w:contextualSpacing/>
      </w:pPr>
    </w:p>
    <w:p w:rsidR="000745A9" w:rsidRDefault="002E773E" w:rsidP="00680D4D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Ask students to read the informational text, using the strategies identified in step #2.</w:t>
      </w:r>
      <w:r w:rsidR="00680D4D">
        <w:t xml:space="preserve"> </w:t>
      </w:r>
      <w:r>
        <w:t xml:space="preserve">Ensure that students have access to a quiet space to read as well as items such as highlighters, post-it notes, and paper for taking notes. </w:t>
      </w:r>
      <w:r w:rsidR="000745A9">
        <w:br/>
      </w:r>
    </w:p>
    <w:p w:rsidR="00E654DC" w:rsidRDefault="002E773E" w:rsidP="00680D4D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Unpack the information</w:t>
      </w:r>
      <w:r w:rsidR="000745A9" w:rsidRPr="000745A9">
        <w:rPr>
          <w:b/>
          <w:i/>
        </w:rPr>
        <w:t>.</w:t>
      </w:r>
      <w:r>
        <w:rPr>
          <w:b/>
          <w:i/>
        </w:rPr>
        <w:t xml:space="preserve"> Ask students to discuss what they’ve learned with a partner, and complete the third column of the K-W-L chart.</w:t>
      </w:r>
      <w:r w:rsidR="000745A9">
        <w:t xml:space="preserve"> </w:t>
      </w:r>
      <w:r>
        <w:t xml:space="preserve">As a whole group, discuss what was learned and record information on </w:t>
      </w:r>
      <w:r w:rsidR="00B05D61">
        <w:t xml:space="preserve">a </w:t>
      </w:r>
      <w:r>
        <w:t>large/projected version of K-W-L chart.</w:t>
      </w:r>
      <w:r w:rsidR="00E654DC">
        <w:br/>
      </w:r>
    </w:p>
    <w:p w:rsidR="00E654DC" w:rsidRDefault="00E654DC" w:rsidP="00E654DC">
      <w:pPr>
        <w:numPr>
          <w:ilvl w:val="0"/>
          <w:numId w:val="7"/>
        </w:numPr>
        <w:ind w:hanging="360"/>
        <w:contextualSpacing/>
      </w:pPr>
      <w:r w:rsidRPr="00E654DC">
        <w:rPr>
          <w:b/>
          <w:i/>
        </w:rPr>
        <w:t>Ask students to demonstrate comprehension of text.</w:t>
      </w:r>
      <w:r>
        <w:t xml:space="preserve"> Comprehension of text can be demonstrated in various ways such as</w:t>
      </w:r>
    </w:p>
    <w:p w:rsidR="00E654DC" w:rsidRDefault="00E654DC" w:rsidP="00E654DC">
      <w:pPr>
        <w:pStyle w:val="ListParagraph"/>
        <w:numPr>
          <w:ilvl w:val="0"/>
          <w:numId w:val="19"/>
        </w:numPr>
      </w:pPr>
      <w:r>
        <w:t>playing the board game in pairs/groups and applying the rules</w:t>
      </w:r>
    </w:p>
    <w:p w:rsidR="00E654DC" w:rsidRDefault="00E654DC" w:rsidP="00E654DC">
      <w:pPr>
        <w:pStyle w:val="ListParagraph"/>
        <w:numPr>
          <w:ilvl w:val="0"/>
          <w:numId w:val="18"/>
        </w:numPr>
      </w:pPr>
      <w:r>
        <w:t>discussing the informational text and its meaning</w:t>
      </w:r>
    </w:p>
    <w:p w:rsidR="00E654DC" w:rsidRDefault="00E654DC" w:rsidP="00E654DC">
      <w:pPr>
        <w:pStyle w:val="ListParagraph"/>
        <w:numPr>
          <w:ilvl w:val="0"/>
          <w:numId w:val="18"/>
        </w:numPr>
      </w:pPr>
      <w:r>
        <w:t>offering written answers to the questions on Handout #1: Comprehending Informational Texts</w:t>
      </w:r>
      <w:r w:rsidR="00596F38">
        <w:t>.</w:t>
      </w:r>
    </w:p>
    <w:p w:rsidR="00E654DC" w:rsidRDefault="00E654DC" w:rsidP="00E654DC"/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7A365B" w:rsidRDefault="002E3BF6" w:rsidP="002E3BF6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680D4D">
        <w:t xml:space="preserve">during </w:t>
      </w:r>
      <w:r w:rsidR="00E654DC">
        <w:t>K-W-L</w:t>
      </w:r>
      <w:r w:rsidR="00680D4D">
        <w:t xml:space="preserve"> whole-group activity.</w:t>
      </w:r>
    </w:p>
    <w:p w:rsidR="002E3BF6" w:rsidRDefault="00680D4D" w:rsidP="002B3BAE">
      <w:pPr>
        <w:pStyle w:val="ListParagraph"/>
        <w:numPr>
          <w:ilvl w:val="0"/>
          <w:numId w:val="9"/>
        </w:numPr>
      </w:pPr>
      <w:r>
        <w:t xml:space="preserve">Evaluate student </w:t>
      </w:r>
      <w:r w:rsidR="00E654DC">
        <w:t xml:space="preserve">understanding through one of the methods described in step #7. </w:t>
      </w:r>
      <w:r w:rsidR="00AA0B04">
        <w:t xml:space="preserve">If assessing students’ written responses to the questions on </w:t>
      </w:r>
      <w:r w:rsidR="00E654DC">
        <w:t>Handout #1</w:t>
      </w:r>
      <w:r w:rsidR="00AA0B04">
        <w:t>, refer to the informational text to determine accuracy of answers</w:t>
      </w:r>
      <w:r w:rsidR="00E654DC">
        <w:t>.</w:t>
      </w:r>
      <w:r w:rsidR="002B3BAE">
        <w:t xml:space="preserve"> </w:t>
      </w:r>
    </w:p>
    <w:p w:rsidR="004F32A2" w:rsidRDefault="004F32A2"/>
    <w:p w:rsidR="004F32A2" w:rsidRDefault="00661427">
      <w:pPr>
        <w:pStyle w:val="Subtitle"/>
      </w:pPr>
      <w:r>
        <w:t>Options for Adaptation/Differentiation:</w:t>
      </w:r>
    </w:p>
    <w:p w:rsidR="004F32A2" w:rsidRDefault="00661427" w:rsidP="002E3BF6">
      <w:pPr>
        <w:pStyle w:val="ListParagraph"/>
        <w:numPr>
          <w:ilvl w:val="0"/>
          <w:numId w:val="14"/>
        </w:numPr>
      </w:pPr>
      <w:r>
        <w:t>To offer scaffolding to students</w:t>
      </w:r>
      <w:r w:rsidR="004A7123">
        <w:t xml:space="preserve"> and to complete this activity in a shorter time frame</w:t>
      </w:r>
      <w:r>
        <w:t xml:space="preserve">, </w:t>
      </w:r>
      <w:r w:rsidR="00097359">
        <w:t>complete</w:t>
      </w:r>
      <w:r w:rsidR="008C6EC9">
        <w:t xml:space="preserve"> </w:t>
      </w:r>
      <w:r w:rsidR="00A84D8E">
        <w:t>a close/active reading of the text as a whole group. Model appropriate reading strategies before, during, and after reading.</w:t>
      </w:r>
    </w:p>
    <w:p w:rsidR="002368B6" w:rsidRDefault="00661427" w:rsidP="00E654DC">
      <w:pPr>
        <w:pStyle w:val="ListParagraph"/>
        <w:numPr>
          <w:ilvl w:val="0"/>
          <w:numId w:val="14"/>
        </w:numPr>
      </w:pPr>
      <w:r>
        <w:t xml:space="preserve">To offer an extension option </w:t>
      </w:r>
      <w:r w:rsidR="00DF2D73">
        <w:t>to students,</w:t>
      </w:r>
      <w:r w:rsidR="00220D00">
        <w:t xml:space="preserve"> </w:t>
      </w:r>
      <w:r w:rsidR="00E654DC">
        <w:t>ask them to reflect in writing on the use of reading strategies before, during, and after a reading of informational text. Consider the following prompt: What did you do before, during, and after reading to help you focus on important information and understand all aspects of the text?</w:t>
      </w:r>
      <w:r w:rsidR="00097359">
        <w:t xml:space="preserve"> </w:t>
      </w:r>
    </w:p>
    <w:p w:rsidR="00097359" w:rsidRDefault="00A84D8E" w:rsidP="002368B6">
      <w:pPr>
        <w:pStyle w:val="ListParagraph"/>
        <w:numPr>
          <w:ilvl w:val="0"/>
          <w:numId w:val="14"/>
        </w:numPr>
      </w:pPr>
      <w:r>
        <w:t>To offer enrichment on the topic, ask each student to research the types of documents he/she would be likely to encounter in a job within a career area of interest. How can reading strategies help ensure success in a chosen career field?</w:t>
      </w:r>
    </w:p>
    <w:p w:rsidR="004F32A2" w:rsidRDefault="004F32A2"/>
    <w:p w:rsidR="004F32A2" w:rsidRDefault="00661427">
      <w:pPr>
        <w:pStyle w:val="Subtitle"/>
      </w:pPr>
      <w:r>
        <w:t xml:space="preserve">Suggestions for Follow-up: </w:t>
      </w:r>
    </w:p>
    <w:p w:rsidR="004F32A2" w:rsidRDefault="00A84D8E" w:rsidP="002E3BF6">
      <w:pPr>
        <w:pStyle w:val="ListParagraph"/>
        <w:numPr>
          <w:ilvl w:val="0"/>
          <w:numId w:val="15"/>
        </w:numPr>
      </w:pPr>
      <w:r>
        <w:t xml:space="preserve">Follow this lesson with another in which the students access, read, and interpret a technical document in an area of interest. Students </w:t>
      </w:r>
      <w:r w:rsidR="00596F38">
        <w:t xml:space="preserve">then </w:t>
      </w:r>
      <w:r>
        <w:t xml:space="preserve">can demonstrate comprehension by creating PowerPoint presentations to share </w:t>
      </w:r>
      <w:r>
        <w:lastRenderedPageBreak/>
        <w:t>information with classmates.</w:t>
      </w:r>
    </w:p>
    <w:p w:rsidR="004F32A2" w:rsidRDefault="00723443" w:rsidP="004A7123">
      <w:pPr>
        <w:pStyle w:val="ListParagraph"/>
        <w:numPr>
          <w:ilvl w:val="0"/>
          <w:numId w:val="15"/>
        </w:numPr>
      </w:pPr>
      <w:r>
        <w:t>B</w:t>
      </w:r>
      <w:r w:rsidR="00661427">
        <w:t>uild upon the concepts</w:t>
      </w:r>
      <w:r w:rsidR="001F67A1">
        <w:t xml:space="preserve"> in this lesson</w:t>
      </w:r>
      <w:r>
        <w:t xml:space="preserve"> by asking students to</w:t>
      </w:r>
      <w:r w:rsidR="00661427">
        <w:t xml:space="preserve"> complete </w:t>
      </w:r>
      <w:r w:rsidR="002E3BF6">
        <w:t xml:space="preserve">activities </w:t>
      </w:r>
      <w:r w:rsidR="001F67A1">
        <w:t>asso</w:t>
      </w:r>
      <w:r w:rsidR="007A365B">
        <w:t xml:space="preserve">ciated with the lesson on page </w:t>
      </w:r>
      <w:r w:rsidR="00A84D8E">
        <w:t>32</w:t>
      </w:r>
      <w:r w:rsidR="001F67A1">
        <w:t>,</w:t>
      </w:r>
      <w:r w:rsidR="002E3BF6">
        <w:t xml:space="preserve"> </w:t>
      </w:r>
      <w:r w:rsidR="003035D0">
        <w:t>“</w:t>
      </w:r>
      <w:r w:rsidR="00A84D8E">
        <w:t xml:space="preserve">Quit </w:t>
      </w:r>
      <w:proofErr w:type="spellStart"/>
      <w:r w:rsidR="00A84D8E">
        <w:t>Talkin</w:t>
      </w:r>
      <w:proofErr w:type="spellEnd"/>
      <w:r w:rsidR="00A84D8E">
        <w:t>’! I Know What To Do!</w:t>
      </w:r>
      <w:r w:rsidR="003035D0">
        <w:t>”</w:t>
      </w:r>
      <w:r w:rsidR="002E3BF6">
        <w:t xml:space="preserve"> in </w:t>
      </w:r>
      <w:hyperlink r:id="rId16">
        <w:r w:rsidR="00661427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7">
        <w:r w:rsidR="00661427" w:rsidRPr="002E3BF6">
          <w:rPr>
            <w:color w:val="0563C1"/>
            <w:u w:val="single"/>
          </w:rPr>
          <w:t>https://www.dol.gov/odep/topics/youth/softskills/</w:t>
        </w:r>
      </w:hyperlink>
      <w:r w:rsidR="00661427">
        <w:t>), from the U.S</w:t>
      </w:r>
      <w:r w:rsidR="006A545E">
        <w:t>.</w:t>
      </w:r>
      <w:r w:rsidR="00661427">
        <w:t xml:space="preserve"> Department of Labor, Office of Disability Employment Policy.</w:t>
      </w:r>
    </w:p>
    <w:p w:rsidR="004F32A2" w:rsidRDefault="004F32A2"/>
    <w:p w:rsidR="004F32A2" w:rsidRDefault="00661427">
      <w:pPr>
        <w:pStyle w:val="Subtitle"/>
      </w:pPr>
      <w:r>
        <w:t>Teacher Resources</w:t>
      </w:r>
    </w:p>
    <w:p w:rsidR="004F32A2" w:rsidRDefault="00B12C06">
      <w:hyperlink r:id="rId18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9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2F12B2">
        <w:t>.</w:t>
      </w:r>
      <w:r w:rsidR="00661427">
        <w:t xml:space="preserve"> Department of Labor, Office of Disability Employment Policy.</w:t>
      </w:r>
    </w:p>
    <w:p w:rsidR="00193DAC" w:rsidRDefault="00193DAC"/>
    <w:p w:rsidR="004F32A2" w:rsidRDefault="00B12C06">
      <w:hyperlink r:id="rId20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21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:rsidR="004F32A2" w:rsidRDefault="004F32A2"/>
    <w:p w:rsidR="00723443" w:rsidRDefault="00B12C06">
      <w:hyperlink r:id="rId22">
        <w:r w:rsidR="00661427">
          <w:rPr>
            <w:color w:val="0563C1"/>
            <w:u w:val="single"/>
          </w:rPr>
          <w:t>Workplace Readiness Skills (WRS) for the Commonwealth: Instructional Resources</w:t>
        </w:r>
      </w:hyperlink>
      <w:r w:rsidR="00661427">
        <w:t xml:space="preserve"> (</w:t>
      </w:r>
      <w:hyperlink r:id="rId23" w:history="1">
        <w:r w:rsidR="002D73A8">
          <w:rPr>
            <w:rStyle w:val="Hyperlink"/>
          </w:rPr>
          <w:t>http://cteresource.org/wrs/index.html</w:t>
        </w:r>
      </w:hyperlink>
      <w:r w:rsidR="00661427">
        <w:t>), Career and Technical Education (CTE) Resource Center.</w:t>
      </w:r>
      <w:bookmarkStart w:id="3" w:name="_GoBack"/>
      <w:bookmarkEnd w:id="3"/>
    </w:p>
    <w:sectPr w:rsidR="00723443" w:rsidSect="003866D5"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3B" w:rsidRDefault="00C6223B">
      <w:r>
        <w:separator/>
      </w:r>
    </w:p>
  </w:endnote>
  <w:endnote w:type="continuationSeparator" w:id="0">
    <w:p w:rsidR="00C6223B" w:rsidRDefault="00C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3B" w:rsidRDefault="00C6223B">
      <w:r>
        <w:separator/>
      </w:r>
    </w:p>
  </w:footnote>
  <w:footnote w:type="continuationSeparator" w:id="0">
    <w:p w:rsidR="00C6223B" w:rsidRDefault="00C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B4971"/>
    <w:multiLevelType w:val="hybridMultilevel"/>
    <w:tmpl w:val="646E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0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9"/>
  </w:num>
  <w:num w:numId="5">
    <w:abstractNumId w:val="2"/>
  </w:num>
  <w:num w:numId="6">
    <w:abstractNumId w:val="9"/>
  </w:num>
  <w:num w:numId="7">
    <w:abstractNumId w:val="20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18"/>
  </w:num>
  <w:num w:numId="13">
    <w:abstractNumId w:val="17"/>
  </w:num>
  <w:num w:numId="14">
    <w:abstractNumId w:val="5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16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745A9"/>
    <w:rsid w:val="00097359"/>
    <w:rsid w:val="000D12B5"/>
    <w:rsid w:val="000F0693"/>
    <w:rsid w:val="000F0ED8"/>
    <w:rsid w:val="00121552"/>
    <w:rsid w:val="00140AF7"/>
    <w:rsid w:val="001427FE"/>
    <w:rsid w:val="001512CA"/>
    <w:rsid w:val="00172542"/>
    <w:rsid w:val="00193DAC"/>
    <w:rsid w:val="001A1C6B"/>
    <w:rsid w:val="001B05D2"/>
    <w:rsid w:val="001E1A46"/>
    <w:rsid w:val="001E1AC3"/>
    <w:rsid w:val="001F67A1"/>
    <w:rsid w:val="00220D00"/>
    <w:rsid w:val="002368B6"/>
    <w:rsid w:val="00275D21"/>
    <w:rsid w:val="00276C53"/>
    <w:rsid w:val="002B3BAE"/>
    <w:rsid w:val="002C7DFC"/>
    <w:rsid w:val="002D73A8"/>
    <w:rsid w:val="002E3BF6"/>
    <w:rsid w:val="002E773E"/>
    <w:rsid w:val="002F0D6C"/>
    <w:rsid w:val="002F12B2"/>
    <w:rsid w:val="002F342A"/>
    <w:rsid w:val="003035D0"/>
    <w:rsid w:val="003272F3"/>
    <w:rsid w:val="00337F9A"/>
    <w:rsid w:val="003866D5"/>
    <w:rsid w:val="003B7E5A"/>
    <w:rsid w:val="003D2328"/>
    <w:rsid w:val="003E7005"/>
    <w:rsid w:val="00400151"/>
    <w:rsid w:val="0042346B"/>
    <w:rsid w:val="00426182"/>
    <w:rsid w:val="00455424"/>
    <w:rsid w:val="00472902"/>
    <w:rsid w:val="0048734D"/>
    <w:rsid w:val="00492C2A"/>
    <w:rsid w:val="004A7123"/>
    <w:rsid w:val="004F32A2"/>
    <w:rsid w:val="00521075"/>
    <w:rsid w:val="005252E5"/>
    <w:rsid w:val="005524B0"/>
    <w:rsid w:val="005609D6"/>
    <w:rsid w:val="00565301"/>
    <w:rsid w:val="00594E51"/>
    <w:rsid w:val="00596F38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03E44"/>
    <w:rsid w:val="00723443"/>
    <w:rsid w:val="00755E37"/>
    <w:rsid w:val="00757052"/>
    <w:rsid w:val="00794BFA"/>
    <w:rsid w:val="007A365B"/>
    <w:rsid w:val="007D21AC"/>
    <w:rsid w:val="0080289E"/>
    <w:rsid w:val="00850179"/>
    <w:rsid w:val="008B4D61"/>
    <w:rsid w:val="008C6EC9"/>
    <w:rsid w:val="008D0DDC"/>
    <w:rsid w:val="00903482"/>
    <w:rsid w:val="00962923"/>
    <w:rsid w:val="0098243B"/>
    <w:rsid w:val="009B46CE"/>
    <w:rsid w:val="009E3C23"/>
    <w:rsid w:val="009F3B1C"/>
    <w:rsid w:val="00A34E1C"/>
    <w:rsid w:val="00A616E5"/>
    <w:rsid w:val="00A764C4"/>
    <w:rsid w:val="00A82094"/>
    <w:rsid w:val="00A84D8E"/>
    <w:rsid w:val="00AA0B04"/>
    <w:rsid w:val="00AD0E2F"/>
    <w:rsid w:val="00B003F4"/>
    <w:rsid w:val="00B05D61"/>
    <w:rsid w:val="00B06061"/>
    <w:rsid w:val="00B12C06"/>
    <w:rsid w:val="00B2008B"/>
    <w:rsid w:val="00B47432"/>
    <w:rsid w:val="00B86BAC"/>
    <w:rsid w:val="00B9184A"/>
    <w:rsid w:val="00BC20F5"/>
    <w:rsid w:val="00BE2FDE"/>
    <w:rsid w:val="00C34A67"/>
    <w:rsid w:val="00C4617B"/>
    <w:rsid w:val="00C6223B"/>
    <w:rsid w:val="00C857AD"/>
    <w:rsid w:val="00CC7C2F"/>
    <w:rsid w:val="00D33A4E"/>
    <w:rsid w:val="00DB2916"/>
    <w:rsid w:val="00DC7625"/>
    <w:rsid w:val="00DD2E8B"/>
    <w:rsid w:val="00DF2D73"/>
    <w:rsid w:val="00E122F4"/>
    <w:rsid w:val="00E654DC"/>
    <w:rsid w:val="00E869DD"/>
    <w:rsid w:val="00E900AD"/>
    <w:rsid w:val="00E934CF"/>
    <w:rsid w:val="00EC022C"/>
    <w:rsid w:val="00F24D5D"/>
    <w:rsid w:val="00F4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yperlink" Target="https://www.ctecs.org/virginia/virginia-overview" TargetMode="External"/><Relationship Id="rId21" Type="http://schemas.openxmlformats.org/officeDocument/2006/relationships/hyperlink" Target="https://www.ctecs.org/virginia/virginia-overview" TargetMode="External"/><Relationship Id="rId22" Type="http://schemas.openxmlformats.org/officeDocument/2006/relationships/hyperlink" Target="http://cteresource.org/wrs/index.html" TargetMode="External"/><Relationship Id="rId23" Type="http://schemas.openxmlformats.org/officeDocument/2006/relationships/hyperlink" Target="http://cteresource.org/wrs/index.html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www.hasbro.com/common/instruct/00009.pdf" TargetMode="External"/><Relationship Id="rId11" Type="http://schemas.openxmlformats.org/officeDocument/2006/relationships/hyperlink" Target="https://www.hasbro.com/common/instruct/00009.pdf" TargetMode="External"/><Relationship Id="rId12" Type="http://schemas.openxmlformats.org/officeDocument/2006/relationships/hyperlink" Target="https://www.hasbro.com/common/instruct/risk.pdf" TargetMode="External"/><Relationship Id="rId13" Type="http://schemas.openxmlformats.org/officeDocument/2006/relationships/hyperlink" Target="https://www.hasbro.com/common/instruct/risk.pdf" TargetMode="External"/><Relationship Id="rId14" Type="http://schemas.openxmlformats.org/officeDocument/2006/relationships/hyperlink" Target="https://scrabble.hasbro.com/en-us/rules" TargetMode="External"/><Relationship Id="rId15" Type="http://schemas.openxmlformats.org/officeDocument/2006/relationships/hyperlink" Target="https://scrabble.hasbro.com/en-us/rules" TargetMode="External"/><Relationship Id="rId16" Type="http://schemas.openxmlformats.org/officeDocument/2006/relationships/hyperlink" Target="https://www.dol.gov/odep/topics/youth/softskills/" TargetMode="External"/><Relationship Id="rId17" Type="http://schemas.openxmlformats.org/officeDocument/2006/relationships/hyperlink" Target="https://www.dol.gov/odep/topics/youth/softskills/" TargetMode="External"/><Relationship Id="rId18" Type="http://schemas.openxmlformats.org/officeDocument/2006/relationships/hyperlink" Target="https://www.dol.gov/odep/topics/youth/softskills/" TargetMode="External"/><Relationship Id="rId19" Type="http://schemas.openxmlformats.org/officeDocument/2006/relationships/hyperlink" Target="https://www.dol.gov/odep/topics/youth/softskill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B1B15-08F6-DF49-9CCC-5290B845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2017-05-23T13:32:00Z</cp:lastPrinted>
  <dcterms:created xsi:type="dcterms:W3CDTF">2019-07-23T13:21:00Z</dcterms:created>
  <dcterms:modified xsi:type="dcterms:W3CDTF">2019-07-23T13:21:00Z</dcterms:modified>
</cp:coreProperties>
</file>